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2117"/>
        <w:gridCol w:w="2016"/>
        <w:gridCol w:w="2103"/>
      </w:tblGrid>
      <w:tr w:rsidR="003871FD" w:rsidRPr="00F72513" w14:paraId="6C0CE295" w14:textId="77777777" w:rsidTr="00512A83">
        <w:tc>
          <w:tcPr>
            <w:tcW w:w="2415" w:type="dxa"/>
            <w:vAlign w:val="center"/>
          </w:tcPr>
          <w:p w14:paraId="61A2CA55" w14:textId="1260A7AD" w:rsidR="002022D1" w:rsidRPr="00F72513" w:rsidRDefault="00565A13" w:rsidP="00155DFC">
            <w:pPr>
              <w:pStyle w:val="Heading1"/>
              <w:bidi/>
              <w:spacing w:before="100" w:beforeAutospacing="1" w:after="100" w:afterAutospacing="1" w:line="240" w:lineRule="auto"/>
              <w:rPr>
                <w:b/>
                <w:bCs/>
                <w:color w:val="D9D9D9" w:themeColor="background1" w:themeShade="D9"/>
                <w:sz w:val="20"/>
                <w:szCs w:val="20"/>
                <w:rtl/>
              </w:rPr>
            </w:pPr>
            <w:r>
              <w:rPr>
                <w:rFonts w:hint="cs"/>
                <w:b/>
                <w:noProof/>
                <w:color w:val="D9D9D9" w:themeColor="background1" w:themeShade="D9"/>
                <w:sz w:val="20"/>
                <w:rtl/>
              </w:rPr>
              <w:drawing>
                <wp:inline distT="0" distB="0" distL="0" distR="0" wp14:anchorId="210D62DA" wp14:editId="19961838">
                  <wp:extent cx="1768202" cy="1068052"/>
                  <wp:effectExtent l="0" t="0" r="3810" b="0"/>
                  <wp:docPr id="1145733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33611" name=""/>
                          <pic:cNvPicPr/>
                        </pic:nvPicPr>
                        <pic:blipFill>
                          <a:blip r:embed="rId8"/>
                          <a:stretch>
                            <a:fillRect/>
                          </a:stretch>
                        </pic:blipFill>
                        <pic:spPr>
                          <a:xfrm>
                            <a:off x="0" y="0"/>
                            <a:ext cx="1799283" cy="1086826"/>
                          </a:xfrm>
                          <a:prstGeom prst="rect">
                            <a:avLst/>
                          </a:prstGeom>
                        </pic:spPr>
                      </pic:pic>
                    </a:graphicData>
                  </a:graphic>
                </wp:inline>
              </w:drawing>
            </w:r>
          </w:p>
        </w:tc>
        <w:tc>
          <w:tcPr>
            <w:tcW w:w="2196" w:type="dxa"/>
            <w:vAlign w:val="center"/>
          </w:tcPr>
          <w:p w14:paraId="3D3908C1" w14:textId="552D9465" w:rsidR="002022D1" w:rsidRPr="00F72513" w:rsidRDefault="00386FBE" w:rsidP="00155DFC">
            <w:pPr>
              <w:pStyle w:val="Heading1"/>
              <w:bidi/>
              <w:spacing w:before="100" w:beforeAutospacing="1" w:after="100" w:afterAutospacing="1" w:line="240" w:lineRule="auto"/>
              <w:jc w:val="center"/>
              <w:rPr>
                <w:b/>
                <w:bCs/>
                <w:color w:val="D9D9D9" w:themeColor="background1" w:themeShade="D9"/>
                <w:sz w:val="20"/>
                <w:szCs w:val="20"/>
                <w:rtl/>
              </w:rPr>
            </w:pPr>
            <w:r>
              <w:rPr>
                <w:rFonts w:hint="cs"/>
                <w:b/>
                <w:noProof/>
                <w:color w:val="D9D9D9" w:themeColor="background1" w:themeShade="D9"/>
                <w:sz w:val="20"/>
                <w:rtl/>
              </w:rPr>
              <w:drawing>
                <wp:inline distT="0" distB="0" distL="0" distR="0" wp14:anchorId="50A2BF42" wp14:editId="19F891DB">
                  <wp:extent cx="1068297" cy="834887"/>
                  <wp:effectExtent l="0" t="0" r="0" b="3810"/>
                  <wp:docPr id="2117577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65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205" cy="848101"/>
                          </a:xfrm>
                          <a:prstGeom prst="rect">
                            <a:avLst/>
                          </a:prstGeom>
                        </pic:spPr>
                      </pic:pic>
                    </a:graphicData>
                  </a:graphic>
                </wp:inline>
              </w:drawing>
            </w:r>
          </w:p>
        </w:tc>
        <w:tc>
          <w:tcPr>
            <w:tcW w:w="2196" w:type="dxa"/>
            <w:vAlign w:val="center"/>
          </w:tcPr>
          <w:p w14:paraId="5011A0D7" w14:textId="1AEB7EAF" w:rsidR="002022D1" w:rsidRPr="00F72513" w:rsidRDefault="003871FD" w:rsidP="00155DFC">
            <w:pPr>
              <w:pStyle w:val="Heading1"/>
              <w:bidi/>
              <w:spacing w:before="100" w:beforeAutospacing="1" w:after="100" w:afterAutospacing="1" w:line="240" w:lineRule="auto"/>
              <w:jc w:val="center"/>
              <w:rPr>
                <w:b/>
                <w:bCs/>
                <w:color w:val="D9D9D9" w:themeColor="background1" w:themeShade="D9"/>
                <w:sz w:val="20"/>
                <w:szCs w:val="20"/>
                <w:rtl/>
              </w:rPr>
            </w:pPr>
            <w:r>
              <w:rPr>
                <w:rFonts w:hint="cs"/>
                <w:noProof/>
                <w:rtl/>
              </w:rPr>
              <w:drawing>
                <wp:inline distT="0" distB="0" distL="0" distR="0" wp14:anchorId="5767D1EB" wp14:editId="61086431">
                  <wp:extent cx="828040" cy="760095"/>
                  <wp:effectExtent l="0" t="0" r="0" b="1905"/>
                  <wp:docPr id="164297365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73651" name="Picture 4" descr="A close-up of a logo&#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040" cy="760095"/>
                          </a:xfrm>
                          <a:prstGeom prst="rect">
                            <a:avLst/>
                          </a:prstGeom>
                        </pic:spPr>
                      </pic:pic>
                    </a:graphicData>
                  </a:graphic>
                </wp:inline>
              </w:drawing>
            </w:r>
          </w:p>
        </w:tc>
        <w:tc>
          <w:tcPr>
            <w:tcW w:w="2253" w:type="dxa"/>
            <w:vAlign w:val="center"/>
          </w:tcPr>
          <w:p w14:paraId="4F5431F2" w14:textId="610582CB" w:rsidR="002022D1" w:rsidRPr="00F72513" w:rsidRDefault="00FD3B30" w:rsidP="00155DFC">
            <w:pPr>
              <w:pStyle w:val="Heading1"/>
              <w:bidi/>
              <w:spacing w:before="100" w:beforeAutospacing="1" w:after="100" w:afterAutospacing="1" w:line="240" w:lineRule="auto"/>
              <w:jc w:val="center"/>
              <w:rPr>
                <w:b/>
                <w:bCs/>
                <w:color w:val="D9D9D9" w:themeColor="background1" w:themeShade="D9"/>
                <w:sz w:val="20"/>
                <w:szCs w:val="20"/>
                <w:rtl/>
              </w:rPr>
            </w:pPr>
            <w:r>
              <w:rPr>
                <w:rFonts w:hint="cs"/>
                <w:noProof/>
                <w:rtl/>
              </w:rPr>
              <w:drawing>
                <wp:inline distT="0" distB="0" distL="0" distR="0" wp14:anchorId="2B777E3D" wp14:editId="3051424A">
                  <wp:extent cx="934713" cy="500932"/>
                  <wp:effectExtent l="0" t="0" r="0" b="0"/>
                  <wp:docPr id="747354131" name="Picture 1" descr="A blue text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54131" name="Picture 1" descr="A blue text with stars&#10;&#10;AI-generated content may be incorrect."/>
                          <pic:cNvPicPr/>
                        </pic:nvPicPr>
                        <pic:blipFill>
                          <a:blip r:embed="rId11"/>
                          <a:stretch>
                            <a:fillRect/>
                          </a:stretch>
                        </pic:blipFill>
                        <pic:spPr>
                          <a:xfrm>
                            <a:off x="0" y="0"/>
                            <a:ext cx="952252" cy="510331"/>
                          </a:xfrm>
                          <a:prstGeom prst="rect">
                            <a:avLst/>
                          </a:prstGeom>
                        </pic:spPr>
                      </pic:pic>
                    </a:graphicData>
                  </a:graphic>
                </wp:inline>
              </w:drawing>
            </w:r>
          </w:p>
        </w:tc>
      </w:tr>
    </w:tbl>
    <w:p w14:paraId="36910EFA" w14:textId="77777777" w:rsidR="00565A13" w:rsidRDefault="002022D1" w:rsidP="00155DFC">
      <w:pPr>
        <w:pStyle w:val="Header1"/>
        <w:bidi/>
        <w:spacing w:before="100" w:beforeAutospacing="1" w:after="100" w:afterAutospacing="1" w:line="240" w:lineRule="auto"/>
        <w:jc w:val="left"/>
        <w:rPr>
          <w:color w:val="auto"/>
          <w:sz w:val="24"/>
          <w:szCs w:val="24"/>
          <w:rtl/>
        </w:rPr>
      </w:pPr>
      <w:r>
        <w:rPr>
          <w:rFonts w:hint="cs"/>
          <w:color w:val="auto"/>
          <w:sz w:val="24"/>
          <w:szCs w:val="24"/>
          <w:rtl/>
        </w:rPr>
        <w:t>بيان صحافي</w:t>
      </w:r>
    </w:p>
    <w:p w14:paraId="455D6DE2" w14:textId="7A17D68E" w:rsidR="002022D1" w:rsidRDefault="002022D1" w:rsidP="00155DFC">
      <w:pPr>
        <w:pStyle w:val="Header1"/>
        <w:bidi/>
        <w:spacing w:before="100" w:beforeAutospacing="1" w:after="100" w:afterAutospacing="1" w:line="240" w:lineRule="auto"/>
        <w:jc w:val="left"/>
        <w:rPr>
          <w:b w:val="0"/>
          <w:bCs/>
          <w:color w:val="auto"/>
          <w:sz w:val="20"/>
          <w:szCs w:val="20"/>
          <w:rtl/>
        </w:rPr>
      </w:pPr>
      <w:r>
        <w:rPr>
          <w:rFonts w:hint="cs"/>
          <w:b w:val="0"/>
          <w:color w:val="auto"/>
          <w:sz w:val="20"/>
          <w:szCs w:val="20"/>
          <w:rtl/>
        </w:rPr>
        <w:t>2025-</w:t>
      </w:r>
      <w:r w:rsidR="00006619">
        <w:rPr>
          <w:b w:val="0"/>
          <w:color w:val="auto"/>
          <w:sz w:val="20"/>
          <w:szCs w:val="20"/>
        </w:rPr>
        <w:t>007</w:t>
      </w:r>
      <w:r>
        <w:rPr>
          <w:b w:val="0"/>
          <w:color w:val="auto"/>
          <w:sz w:val="20"/>
          <w:szCs w:val="20"/>
        </w:rPr>
        <w:t>-EN</w:t>
      </w:r>
    </w:p>
    <w:p w14:paraId="3B8E7E4E" w14:textId="1E3F4C39" w:rsidR="00716AE6" w:rsidRPr="00F72513" w:rsidRDefault="00716AE6" w:rsidP="00155DFC">
      <w:pPr>
        <w:pStyle w:val="Header1"/>
        <w:bidi/>
        <w:spacing w:before="100" w:beforeAutospacing="1" w:after="100" w:afterAutospacing="1" w:line="240" w:lineRule="auto"/>
        <w:jc w:val="left"/>
        <w:rPr>
          <w:b w:val="0"/>
          <w:bCs/>
          <w:color w:val="auto"/>
          <w:sz w:val="20"/>
          <w:szCs w:val="20"/>
          <w:rtl/>
        </w:rPr>
      </w:pPr>
      <w:r>
        <w:rPr>
          <w:rFonts w:hint="cs"/>
          <w:b w:val="0"/>
          <w:color w:val="auto"/>
          <w:sz w:val="20"/>
          <w:szCs w:val="20"/>
          <w:rtl/>
        </w:rPr>
        <w:t>التاريخ:</w:t>
      </w:r>
    </w:p>
    <w:p w14:paraId="0DA1C602" w14:textId="1F4A92CB" w:rsidR="005758D7" w:rsidRPr="006C208D" w:rsidRDefault="005758D7" w:rsidP="00155DFC">
      <w:pPr>
        <w:bidi/>
        <w:spacing w:before="100" w:beforeAutospacing="1" w:after="100" w:afterAutospacing="1" w:line="240" w:lineRule="auto"/>
        <w:jc w:val="both"/>
        <w:rPr>
          <w:rFonts w:ascii="Arial" w:hAnsi="Arial" w:cs="Arial"/>
          <w:b/>
          <w:bCs/>
          <w:sz w:val="28"/>
          <w:szCs w:val="28"/>
          <w:rtl/>
        </w:rPr>
      </w:pPr>
      <w:r>
        <w:rPr>
          <w:rFonts w:ascii="Arial" w:hAnsi="Arial" w:cs="Arial" w:hint="cs"/>
          <w:b/>
          <w:bCs/>
          <w:sz w:val="28"/>
          <w:szCs w:val="28"/>
          <w:rtl/>
        </w:rPr>
        <w:t>البنك الأوروبي للاستثمار في العالم يستثمر 37.5 مليون دولار في صندوق "ألتا سيمبر الثاني" (</w:t>
      </w:r>
      <w:r>
        <w:rPr>
          <w:rFonts w:ascii="Arial" w:hAnsi="Arial" w:cs="Arial"/>
          <w:b/>
          <w:bCs/>
          <w:sz w:val="28"/>
          <w:szCs w:val="28"/>
        </w:rPr>
        <w:t>Alta Semper II</w:t>
      </w:r>
      <w:r>
        <w:rPr>
          <w:rFonts w:ascii="Arial" w:hAnsi="Arial" w:cs="Arial" w:hint="cs"/>
          <w:b/>
          <w:bCs/>
          <w:sz w:val="28"/>
          <w:szCs w:val="28"/>
          <w:rtl/>
        </w:rPr>
        <w:t>) لدعم نمو شركات الأدوية والرعاية الصحية في أفريقيا</w:t>
      </w:r>
    </w:p>
    <w:p w14:paraId="6805E228" w14:textId="77777777" w:rsidR="00565A13" w:rsidRDefault="005758D7" w:rsidP="00155DFC">
      <w:pPr>
        <w:numPr>
          <w:ilvl w:val="0"/>
          <w:numId w:val="3"/>
        </w:numPr>
        <w:bidi/>
        <w:spacing w:before="100" w:beforeAutospacing="1" w:after="100" w:afterAutospacing="1" w:line="240" w:lineRule="auto"/>
        <w:jc w:val="both"/>
        <w:rPr>
          <w:rFonts w:ascii="Arial" w:hAnsi="Arial" w:cs="Arial"/>
          <w:b/>
          <w:bCs/>
          <w:sz w:val="21"/>
          <w:szCs w:val="21"/>
          <w:rtl/>
        </w:rPr>
      </w:pPr>
      <w:r>
        <w:rPr>
          <w:rFonts w:ascii="Arial" w:hAnsi="Arial" w:cs="Arial" w:hint="cs"/>
          <w:b/>
          <w:bCs/>
          <w:sz w:val="21"/>
          <w:szCs w:val="21"/>
          <w:rtl/>
        </w:rPr>
        <w:t>البنك الأوروبي للاستثمار يلتزم بتقديم 37.5 مليون دولار لصندوق "ألتا سيمبر الثاني"، الذي من المتوقع أن يحفز استثمارات تصل قيمتها إلى 150 مليون دولار في مجال الرعاية الصحية، لا سيما في شمال أفريقيا.</w:t>
      </w:r>
    </w:p>
    <w:p w14:paraId="3ADA88BC" w14:textId="55FD0DC3" w:rsidR="005758D7" w:rsidRPr="006C208D" w:rsidRDefault="005758D7" w:rsidP="00155DFC">
      <w:pPr>
        <w:numPr>
          <w:ilvl w:val="0"/>
          <w:numId w:val="3"/>
        </w:numPr>
        <w:bidi/>
        <w:spacing w:before="100" w:beforeAutospacing="1" w:after="100" w:afterAutospacing="1" w:line="240" w:lineRule="auto"/>
        <w:jc w:val="both"/>
        <w:rPr>
          <w:rFonts w:ascii="Arial" w:hAnsi="Arial" w:cs="Arial"/>
          <w:b/>
          <w:bCs/>
          <w:sz w:val="21"/>
          <w:szCs w:val="21"/>
          <w:rtl/>
        </w:rPr>
      </w:pPr>
      <w:r>
        <w:rPr>
          <w:rFonts w:ascii="Arial" w:hAnsi="Arial" w:cs="Arial" w:hint="cs"/>
          <w:b/>
          <w:bCs/>
          <w:sz w:val="21"/>
          <w:szCs w:val="21"/>
          <w:rtl/>
        </w:rPr>
        <w:t>الصندوق يدعم الابتكار، وتوفير الخدمات بأسعار معقولة، والتعاون الإقليمي بين الاتحاد الأوروبي وجواره الجنوبي في مجالات علوم الحياة، والأدوية، والتكنولوجيا الطبية.</w:t>
      </w:r>
    </w:p>
    <w:p w14:paraId="6CBC6764" w14:textId="77777777" w:rsidR="005758D7" w:rsidRPr="006C208D" w:rsidRDefault="005758D7" w:rsidP="00155DFC">
      <w:pPr>
        <w:numPr>
          <w:ilvl w:val="0"/>
          <w:numId w:val="3"/>
        </w:numPr>
        <w:bidi/>
        <w:spacing w:before="100" w:beforeAutospacing="1" w:after="100" w:afterAutospacing="1" w:line="240" w:lineRule="auto"/>
        <w:jc w:val="both"/>
        <w:rPr>
          <w:rFonts w:ascii="Arial" w:hAnsi="Arial" w:cs="Arial"/>
          <w:b/>
          <w:bCs/>
          <w:sz w:val="21"/>
          <w:szCs w:val="21"/>
          <w:rtl/>
        </w:rPr>
      </w:pPr>
      <w:r>
        <w:rPr>
          <w:rFonts w:ascii="Arial" w:hAnsi="Arial" w:cs="Arial" w:hint="cs"/>
          <w:b/>
          <w:bCs/>
          <w:sz w:val="21"/>
          <w:szCs w:val="21"/>
          <w:rtl/>
        </w:rPr>
        <w:t>من المتوقع أن يسهم ما لا يقل عن 30% من الشركات المدرجة في الحافظة الاستثمارية في تعزيز المساواة بين الجنسين.</w:t>
      </w:r>
    </w:p>
    <w:p w14:paraId="12D75207" w14:textId="6057EE1B" w:rsidR="005758D7" w:rsidRPr="00485D62" w:rsidRDefault="005758D7" w:rsidP="00155DFC">
      <w:pPr>
        <w:bidi/>
        <w:spacing w:before="100" w:beforeAutospacing="1" w:after="100" w:afterAutospacing="1" w:line="240" w:lineRule="auto"/>
        <w:jc w:val="both"/>
        <w:rPr>
          <w:rFonts w:ascii="Arial" w:hAnsi="Arial" w:cs="Arial"/>
          <w:rtl/>
        </w:rPr>
      </w:pPr>
      <w:r w:rsidRPr="00485D62">
        <w:rPr>
          <w:rFonts w:ascii="Arial" w:hAnsi="Arial" w:cs="Arial" w:hint="cs"/>
          <w:rtl/>
        </w:rPr>
        <w:t>يستثمر البنك الأوروبي للاستثمار، من خلال ذراعه التنموية "البنك الأوروبي للاستثمار في العالم"، 37.5 مليون دولار في صندوق "ألتا سيمبر الثاني" (</w:t>
      </w:r>
      <w:r w:rsidRPr="00485D62">
        <w:rPr>
          <w:rFonts w:ascii="Arial" w:hAnsi="Arial" w:cs="Arial"/>
        </w:rPr>
        <w:t>Alta Semper II</w:t>
      </w:r>
      <w:r w:rsidRPr="00485D62">
        <w:rPr>
          <w:rFonts w:ascii="Arial" w:hAnsi="Arial" w:cs="Arial" w:hint="cs"/>
          <w:rtl/>
        </w:rPr>
        <w:t>) لدعم نمو شركات الأدوية والرعاية الصحية في جميع أنحاء أفريقيا، بما يشمل المعدات والتقنيات الطبية. يستهدف الصندوق بشكل أساسي شمال أفريقيا (حوالي 70%)، في حين يستهدف بدرجة أقل أفريقيا جنوب الصحراء (حوالي 30%)، وسيسهم في تعزيز الابتكار والاستدامة في قطاع علوم الحياة مع تعميق العلاقات التجارية بين الاتحاد الأوروبي وأفريقيا.</w:t>
      </w:r>
    </w:p>
    <w:p w14:paraId="545D95D4" w14:textId="277779DD" w:rsidR="00FC591D" w:rsidRPr="00485D62" w:rsidRDefault="00FC591D" w:rsidP="00155DFC">
      <w:pPr>
        <w:bidi/>
        <w:spacing w:before="100" w:beforeAutospacing="1" w:after="100" w:afterAutospacing="1" w:line="240" w:lineRule="auto"/>
        <w:jc w:val="both"/>
        <w:rPr>
          <w:rFonts w:ascii="Arial" w:hAnsi="Arial" w:cs="Arial"/>
          <w:rtl/>
        </w:rPr>
      </w:pPr>
      <w:r w:rsidRPr="00485D62">
        <w:rPr>
          <w:rFonts w:ascii="Arial" w:hAnsi="Arial" w:cs="Arial" w:hint="cs"/>
          <w:rtl/>
        </w:rPr>
        <w:t>أجريت مراسم التوقيع على الاتفاقية خلال فعالية أقيمت في القاهرة بحضور معالي الدكتورة رانيا المشاط، وزيرة التخطيط والتنمية الاقتصادية والتعاون الدولي في مصر،  والسيدة جلسومينا فليوتي، نائبة رئيس البنك الأوروبي للاستثمار، والسيدة أفصاني جيتا، الرئيسة التنفيذية لشركة "ألتا س</w:t>
      </w:r>
      <w:r w:rsidR="00011FA8">
        <w:rPr>
          <w:rFonts w:ascii="Arial" w:hAnsi="Arial" w:cs="Arial" w:hint="cs"/>
          <w:rtl/>
          <w:lang w:bidi="ar-EG"/>
        </w:rPr>
        <w:t>ي</w:t>
      </w:r>
      <w:r w:rsidRPr="00485D62">
        <w:rPr>
          <w:rFonts w:ascii="Arial" w:hAnsi="Arial" w:cs="Arial" w:hint="cs"/>
          <w:rtl/>
        </w:rPr>
        <w:t>مبر كابيتال"، وشيخ عمر سيلا، المدير الإقليمي لمؤسسة التمويل الدولية لشمال أفريقيا والقرن الأفريقي.</w:t>
      </w:r>
    </w:p>
    <w:p w14:paraId="611705B0" w14:textId="3B0D5904" w:rsidR="00565A13" w:rsidRPr="00485D62" w:rsidRDefault="005758D7" w:rsidP="00155DFC">
      <w:pPr>
        <w:bidi/>
        <w:spacing w:before="100" w:beforeAutospacing="1" w:after="100" w:afterAutospacing="1" w:line="240" w:lineRule="auto"/>
        <w:jc w:val="both"/>
        <w:rPr>
          <w:rFonts w:ascii="Arial" w:hAnsi="Arial" w:cs="Arial"/>
          <w:rtl/>
        </w:rPr>
      </w:pPr>
      <w:r w:rsidRPr="00485D62">
        <w:rPr>
          <w:rFonts w:ascii="Arial" w:hAnsi="Arial" w:cs="Arial" w:hint="cs"/>
          <w:rtl/>
        </w:rPr>
        <w:t>يهدف الصندوق، الذي تديره شركة "ألتا س</w:t>
      </w:r>
      <w:r w:rsidR="00B13D88">
        <w:rPr>
          <w:rFonts w:ascii="Arial" w:hAnsi="Arial" w:cs="Arial" w:hint="cs"/>
          <w:rtl/>
        </w:rPr>
        <w:t>ي</w:t>
      </w:r>
      <w:r w:rsidRPr="00485D62">
        <w:rPr>
          <w:rFonts w:ascii="Arial" w:hAnsi="Arial" w:cs="Arial" w:hint="cs"/>
          <w:rtl/>
        </w:rPr>
        <w:t>مبر كابيتال" وهي شركة استثمار في الأسهم الخاصة تقودها نساء ولها سجل أداء مثبت في استثمارات قطاع الرعاية الصحية، إلى دعم الشركات المحلية لتوسيع نطاق سبل الحصول على منتجات وخدمات عالية الجودة وبأسعار معقولة، بما يساهم في تعزيز النمو الاقتصادي الشامل وتنمية رأس المال البشري. ومن المتوقع أن تتعاون العديد من الشركات المدرجة في الحافظة الاستثمارية مع موردي الاتحاد الأوروبي وشركات التكنولوجيا الطبية لتقديم خدمات إقليمية، ما يزيد من ربط الأسواق الأفريقية بسلسلة القيمة لعلوم الحياة في الاتحاد الأوروبي.</w:t>
      </w:r>
    </w:p>
    <w:p w14:paraId="6DEB8808" w14:textId="03AF2F42" w:rsidR="005758D7" w:rsidRPr="00485D62" w:rsidRDefault="005758D7" w:rsidP="00155DFC">
      <w:pPr>
        <w:bidi/>
        <w:spacing w:before="100" w:beforeAutospacing="1" w:after="100" w:afterAutospacing="1" w:line="240" w:lineRule="auto"/>
        <w:jc w:val="both"/>
        <w:rPr>
          <w:rFonts w:ascii="Arial" w:hAnsi="Arial" w:cs="Arial"/>
          <w:rtl/>
        </w:rPr>
      </w:pPr>
      <w:r w:rsidRPr="00485D62">
        <w:rPr>
          <w:rFonts w:ascii="Arial" w:hAnsi="Arial" w:cs="Arial" w:hint="cs"/>
          <w:rtl/>
        </w:rPr>
        <w:lastRenderedPageBreak/>
        <w:t xml:space="preserve">قالت السيدة </w:t>
      </w:r>
      <w:r w:rsidRPr="00485D62">
        <w:rPr>
          <w:rFonts w:ascii="Arial" w:hAnsi="Arial" w:cs="Arial" w:hint="cs"/>
          <w:b/>
          <w:bCs/>
          <w:rtl/>
        </w:rPr>
        <w:t>جلسومينا فليوتي</w:t>
      </w:r>
      <w:r w:rsidRPr="00485D62">
        <w:rPr>
          <w:rFonts w:ascii="Arial" w:hAnsi="Arial" w:cs="Arial" w:hint="cs"/>
          <w:rtl/>
        </w:rPr>
        <w:t>، نائبة رئيس البنك الأوروبي للاستثمار: "من خلال هذا الاستثمار، نؤكد مجددًا التزام أوروبا ببناء أنظمة رعاية صحية قادرة على الصمود وتعزيز النمو المنصف في أنحاء أفريقيا. وسيمكِّن الصندوق الشركات المبتكرة التي يقودها رواد أعمال موهوبون، بينهم الكثير من النساء، من تقديم حلول بأسعار معقولة، وتعزيز الإنتاج المحلي، وخلق وظائف جيدة".</w:t>
      </w:r>
    </w:p>
    <w:p w14:paraId="433EFC74" w14:textId="29056701" w:rsidR="00565A13" w:rsidRPr="00485D62" w:rsidRDefault="00936850" w:rsidP="00485D62">
      <w:pPr>
        <w:bidi/>
        <w:spacing w:before="100" w:beforeAutospacing="1" w:after="100" w:afterAutospacing="1" w:line="240" w:lineRule="auto"/>
        <w:jc w:val="both"/>
        <w:rPr>
          <w:rFonts w:ascii="Arial" w:hAnsi="Arial" w:cs="Arial"/>
          <w:rtl/>
        </w:rPr>
      </w:pPr>
      <w:r w:rsidRPr="00485D62">
        <w:rPr>
          <w:rFonts w:ascii="Arial" w:hAnsi="Arial" w:cs="Arial" w:hint="cs"/>
          <w:rtl/>
        </w:rPr>
        <w:t xml:space="preserve">وأكدت الدكتورة </w:t>
      </w:r>
      <w:r w:rsidRPr="00485D62">
        <w:rPr>
          <w:rFonts w:ascii="Arial" w:hAnsi="Arial" w:cs="Arial" w:hint="cs"/>
          <w:b/>
          <w:bCs/>
          <w:rtl/>
        </w:rPr>
        <w:t>رانيا المشاط،</w:t>
      </w:r>
      <w:r w:rsidRPr="00485D62">
        <w:rPr>
          <w:rFonts w:ascii="Arial" w:hAnsi="Arial" w:cs="Arial" w:hint="cs"/>
          <w:rtl/>
        </w:rPr>
        <w:t xml:space="preserve"> وزيرة التخطيط والتنمية الاقتصادية والتعاون الدولي، "أن مصر تُمثل منصة محورية للتعاون الدولي مع شركاء التنمية من خلال صياغة وتنفيذ مشروعات تعود بالنفع المباشر على المواطن وحشد التمويلات والدعم الفني سواء للقطاع الحكومي وكذلك القطاع الخاص المحلي والأجنبي"، لافتة إلى أنه "من خلال الشراكة بين البنك الأوروبي الاستثمار وصندوق "ألتا سيمبر الثاني" (</w:t>
      </w:r>
      <w:r w:rsidRPr="00485D62">
        <w:rPr>
          <w:rFonts w:ascii="Arial" w:hAnsi="Arial" w:cs="Arial"/>
        </w:rPr>
        <w:t>Alta Semper II</w:t>
      </w:r>
      <w:r w:rsidRPr="00485D62">
        <w:rPr>
          <w:rFonts w:ascii="Arial" w:hAnsi="Arial" w:cs="Arial" w:hint="cs"/>
          <w:rtl/>
        </w:rPr>
        <w:t>)، سيتم العمل على دعم نمو شركات الأدوية والرعاية الصحية في أفريقيا، بما في ذلك معدات وتقنيات الرعاية الطبية، خاصة في شمال أفريقيا ومنطقة أفريقيا جنوب الصحراء، لتعزيز الابتكار والاستدامة وتعميق العلاقات التجارية بين الاتحاد الأوروبي وأفريقيا".</w:t>
      </w:r>
      <w:r w:rsidRPr="00485D62">
        <w:rPr>
          <w:rFonts w:hint="cs"/>
          <w:rtl/>
        </w:rPr>
        <w:t xml:space="preserve"> </w:t>
      </w:r>
    </w:p>
    <w:p w14:paraId="1AD2F608" w14:textId="77777777" w:rsidR="00565A13" w:rsidRPr="00485D62" w:rsidRDefault="009B3F65" w:rsidP="00155DFC">
      <w:pPr>
        <w:bidi/>
        <w:spacing w:before="100" w:beforeAutospacing="1" w:after="100" w:afterAutospacing="1" w:line="240" w:lineRule="auto"/>
        <w:jc w:val="both"/>
        <w:rPr>
          <w:rFonts w:ascii="Arial" w:hAnsi="Arial" w:cs="Arial"/>
          <w:i/>
          <w:iCs/>
          <w:rtl/>
        </w:rPr>
      </w:pPr>
      <w:r w:rsidRPr="00485D62">
        <w:rPr>
          <w:rFonts w:ascii="Arial" w:hAnsi="Arial" w:cs="Arial" w:hint="cs"/>
          <w:rtl/>
        </w:rPr>
        <w:t xml:space="preserve">وعلقت السيدة </w:t>
      </w:r>
      <w:r w:rsidRPr="00485D62">
        <w:rPr>
          <w:rFonts w:ascii="Arial" w:hAnsi="Arial" w:cs="Arial" w:hint="cs"/>
          <w:b/>
          <w:bCs/>
          <w:rtl/>
        </w:rPr>
        <w:t>أفصاني جيتا</w:t>
      </w:r>
      <w:r w:rsidRPr="00485D62">
        <w:rPr>
          <w:rFonts w:ascii="Arial" w:hAnsi="Arial" w:cs="Arial" w:hint="cs"/>
          <w:rtl/>
        </w:rPr>
        <w:t>، الرئيسة التنفيذية لشركة "ألتا سيمبر كابيتال"، قائلة: "يسعدنا إقامة شراكة مع البنك الأوروبي للاستثمار، وهو ما يمثل خطوة مهمة للغاية في تحقيق رؤيتنا طويلة الأمد لبناء نظام رعاية صحية قادر على الصمود ومنصف ومستدام في مختلف أسواقنا المستهدفة. إن التزام البنك الأوروبي للاستثمار سيعزز بشكل كبير قدرتنا على ضخ رؤوس الأموال في استثمارات جديدة، ويساعد في تسريع نمو الشركات المندرجة ضمن حافظتنا، ويعمق تأثيرنا على أرض الواقع، ما يضمن استمرارنا في تلبية الطلب المتزايد في القارة على خدمات الرعاية الصحية عالية الجودة، وتيسير سبل الحصول على خدمات الصحة والسلامة للجميع. تركز استراتيجيتنا الاستثمارية على سد الفجوات في خدمات الرعاية الصحية ومرافقها ومنتجاتها، ونستثمر أيضًا بشكل انتقائي في التقنيات المبتكرة المثبتة التي تسرِّع تطوير نماذج الأعمال وتعزز سبل الحصول على الرعاية الصحية وبلوغ الأهداف المتوخاة لتحقيق الإنصاف في مجال الصحة".</w:t>
      </w:r>
    </w:p>
    <w:p w14:paraId="0FB53452" w14:textId="0050EA5B" w:rsidR="00FF33ED" w:rsidRPr="00485D62" w:rsidRDefault="00FF33ED" w:rsidP="00FF33ED">
      <w:pPr>
        <w:bidi/>
        <w:spacing w:before="100" w:beforeAutospacing="1" w:after="100" w:afterAutospacing="1" w:line="240" w:lineRule="auto"/>
        <w:jc w:val="both"/>
        <w:rPr>
          <w:rFonts w:ascii="Arial" w:hAnsi="Arial" w:cs="Arial"/>
          <w:rtl/>
        </w:rPr>
      </w:pPr>
      <w:r w:rsidRPr="00485D62">
        <w:rPr>
          <w:rFonts w:ascii="Arial" w:hAnsi="Arial" w:cs="Arial" w:hint="cs"/>
          <w:rtl/>
        </w:rPr>
        <w:t xml:space="preserve">ومن جانبه قال </w:t>
      </w:r>
      <w:r w:rsidRPr="00485D62">
        <w:rPr>
          <w:rFonts w:ascii="Arial" w:hAnsi="Arial" w:cs="Arial" w:hint="cs"/>
          <w:b/>
          <w:bCs/>
          <w:rtl/>
        </w:rPr>
        <w:t>شيخ عمر سيلا،</w:t>
      </w:r>
      <w:r w:rsidRPr="00485D62">
        <w:rPr>
          <w:rFonts w:ascii="Arial" w:hAnsi="Arial" w:cs="Arial" w:hint="cs"/>
          <w:rtl/>
        </w:rPr>
        <w:t xml:space="preserve"> المدير الإقليمي لمؤسسة التمويل الدولية لشمال أفريقيا والقرن الأفريقي: "تمثل الحلول المحلية نقطة البداية لبناء اقتصادات قادرة على الصمود في وجه الأزمات. فمن خلال تعبئة رأس المال الخاص بالتعاون مع شركاء التنمية، ومن بينهم البنك الأوروبي للاستثمار، يدعم هذا الاستثمار في "ألتا سيمبر كابيتال" نمو قطاعي الرعاية الصحية وأعمال المستهلكين على المستوى المحلي في مصر وجميع أنحاء أفريقيا، بما في ذلك الأعمال التي تقودها النساء، ما يعزز فرص الحصول على الرعاية الصحية الجيدة".</w:t>
      </w:r>
    </w:p>
    <w:p w14:paraId="6F137E84" w14:textId="5F66A416" w:rsidR="00D63196" w:rsidRPr="00485D62" w:rsidRDefault="00D63196" w:rsidP="00EC4B70">
      <w:pPr>
        <w:bidi/>
        <w:spacing w:before="100" w:beforeAutospacing="1" w:after="100" w:afterAutospacing="1" w:line="240" w:lineRule="auto"/>
        <w:jc w:val="both"/>
        <w:rPr>
          <w:rFonts w:ascii="Arial" w:hAnsi="Arial" w:cs="Arial"/>
          <w:rtl/>
        </w:rPr>
      </w:pPr>
      <w:r w:rsidRPr="00485D62">
        <w:rPr>
          <w:rFonts w:ascii="Arial" w:hAnsi="Arial" w:cs="Arial" w:hint="cs"/>
          <w:rtl/>
        </w:rPr>
        <w:t xml:space="preserve">أكد السيد </w:t>
      </w:r>
      <w:r w:rsidRPr="00485D62">
        <w:rPr>
          <w:rFonts w:ascii="Arial" w:hAnsi="Arial" w:cs="Arial" w:hint="cs"/>
          <w:b/>
          <w:bCs/>
          <w:rtl/>
        </w:rPr>
        <w:t>باسل رحمي</w:t>
      </w:r>
      <w:r w:rsidRPr="00485D62">
        <w:rPr>
          <w:rFonts w:ascii="Arial" w:hAnsi="Arial" w:cs="Arial" w:hint="cs"/>
          <w:rtl/>
        </w:rPr>
        <w:t>، الرئيس التنفيذي لجهاز تنمية المشروعات المتوسطة والصغيرة ومتناهية الصغر، "أن الجهاز يثمن دور الشركاء الدوليين مثل البنك الأوروبي للاستثمار ومؤسسة التمويل الدولية في دعم صندوق "ألتا سيمبر كابيتال الثاني"، حيث تعزز تلك المشاركة دور الصندوق الاستراتيجي في دعم قطاعي الرعاية الصحية والسلع الاستهلاكية في مصر، وهما من القطاعات الحيوية لاقتصادنا الوطني". ويرى "أن دعم مثل تلك الصناديق من شأنه تسريع معدلات نمو الشركات المتوسطة، خاصة في القطاعات الحيوية مثل الرعاية الصحية والسلع الاستهلاكية، مما يخلق في النهاية آلاف فرص العمل القيمة في مصر". وقد أشار سيادته إلى "أن الجهاز يقوم حاليًا بالعمل على إنهاء دراسة المساهمة في الصندوق وذلك خلال الربع الأول من عام 2026، مما يعزز تمكين المؤسسات ذات التأثير العالي من التوسع والابتكار".</w:t>
      </w:r>
    </w:p>
    <w:p w14:paraId="32C097FC" w14:textId="0164CDBC" w:rsidR="001E2AAA" w:rsidRPr="00485D62" w:rsidRDefault="001E2AAA" w:rsidP="00155DFC">
      <w:pPr>
        <w:bidi/>
        <w:spacing w:before="100" w:beforeAutospacing="1" w:after="100" w:afterAutospacing="1" w:line="240" w:lineRule="auto"/>
        <w:jc w:val="both"/>
        <w:rPr>
          <w:rFonts w:ascii="Arial" w:hAnsi="Arial" w:cs="Arial"/>
          <w:rtl/>
        </w:rPr>
      </w:pPr>
      <w:r w:rsidRPr="00485D62">
        <w:rPr>
          <w:rFonts w:ascii="Arial" w:hAnsi="Arial" w:cs="Arial" w:hint="cs"/>
          <w:rtl/>
        </w:rPr>
        <w:t xml:space="preserve">تعكس هذه العملية استراتيجية البنك الأوروبي للاستثمار في العالم لجمع رؤوس الأموال الخاصة بالتعاون مع مديري الصناديق ذوي الخبرة القادرين على العمل كمحفزين في الأسواق المحلية. ويستفيد الصندوق من التعاون مع المستثمرين الدوليين، إلى جانب البنك الأوروبي للاستثمار ومؤسسة التمويل الدولية التابعة </w:t>
      </w:r>
      <w:r w:rsidRPr="00485D62">
        <w:rPr>
          <w:rFonts w:ascii="Arial" w:hAnsi="Arial" w:cs="Arial" w:hint="cs"/>
          <w:rtl/>
        </w:rPr>
        <w:lastRenderedPageBreak/>
        <w:t>لمجموعة البنك الدولي، التي تُعد بالفعل مستثمرًا في الصندوق. بالإضافة إلى ذلك، وصل عدد كبير من مستثمري القطاع الخاص إلى مراحل متقدمة من المفاوضات للانضمام عند الإغلاق النهائي، ما يبرز الجاذبية القوية للصندوق في السوق.</w:t>
      </w:r>
    </w:p>
    <w:p w14:paraId="21937E9B" w14:textId="0637C85B" w:rsidR="001E2AAA" w:rsidRPr="00485D62" w:rsidRDefault="001E2AAA" w:rsidP="00155DFC">
      <w:pPr>
        <w:bidi/>
        <w:spacing w:before="100" w:beforeAutospacing="1" w:after="100" w:afterAutospacing="1" w:line="240" w:lineRule="auto"/>
        <w:jc w:val="both"/>
        <w:rPr>
          <w:rFonts w:ascii="Arial" w:hAnsi="Arial" w:cs="Arial"/>
          <w:rtl/>
        </w:rPr>
      </w:pPr>
      <w:r w:rsidRPr="00485D62">
        <w:rPr>
          <w:rFonts w:ascii="Arial" w:hAnsi="Arial" w:cs="Arial" w:hint="cs"/>
          <w:rtl/>
        </w:rPr>
        <w:t>يتماشى هذا الاستثمار مع استراتيجية الاتحاد الأوروبي للصحة العالمية وحزمة استثمار البوابة العالمية للاتحاد الأوروبي في أفريقيا، وهو ما يساهم في تعزيز قدرات التصنيع والابتكار والأمن الصحي على المستوى الإقليمي. سيضمن الصندوق من خلال دمج الاعتبارات المتعلقة بمراعاة المساواة بين الجنسين في نهجه الاستثماري تخصيص ما لا يقل عن 30% من حافظة استثماراته للمساهمة في تعزيز المساواة بين الجنسين، ودعم المشاريع التي تقودها النساء، وممارسات التوظيف الشاملة.</w:t>
      </w:r>
    </w:p>
    <w:p w14:paraId="326CD4E7" w14:textId="26F0082A" w:rsidR="001E2AAA" w:rsidRPr="00485D62" w:rsidRDefault="001E2AAA" w:rsidP="00155DFC">
      <w:pPr>
        <w:bidi/>
        <w:spacing w:before="100" w:beforeAutospacing="1" w:after="100" w:afterAutospacing="1" w:line="240" w:lineRule="auto"/>
        <w:jc w:val="both"/>
        <w:rPr>
          <w:rFonts w:ascii="Arial" w:hAnsi="Arial" w:cs="Arial"/>
          <w:rtl/>
        </w:rPr>
      </w:pPr>
      <w:r w:rsidRPr="00485D62">
        <w:rPr>
          <w:rFonts w:ascii="Arial" w:hAnsi="Arial" w:cs="Arial" w:hint="cs"/>
          <w:rtl/>
        </w:rPr>
        <w:t>ومن المتوقع أن يجمع الصندوق، من خلال جذب المزيد من مؤسسات التمويل الإنمائي الأوروبية والمستثمرين من القطاع الخاص، رأس المال بما يتجاوز التزام البنك الأوروبي للاستثمار، وهو ما يوفر شراكة "مربحة للجميع" تعمل على تحسين النواتج الصحية، وتعزيز نمو القطاع الخاص، وتوطيد التعاون المستدام بين الاتحاد الأوروبي وجواره الجنوبي.</w:t>
      </w:r>
    </w:p>
    <w:p w14:paraId="53E017BA" w14:textId="4F96491F" w:rsidR="0096577E" w:rsidRPr="00155DFC" w:rsidRDefault="0096577E" w:rsidP="00155DFC">
      <w:pPr>
        <w:bidi/>
        <w:spacing w:before="100" w:beforeAutospacing="1" w:after="100" w:afterAutospacing="1" w:line="240" w:lineRule="auto"/>
        <w:jc w:val="both"/>
        <w:rPr>
          <w:rFonts w:ascii="Arial" w:hAnsi="Arial" w:cs="Arial"/>
          <w:b/>
          <w:rtl/>
        </w:rPr>
      </w:pPr>
      <w:r>
        <w:rPr>
          <w:rFonts w:ascii="Arial" w:hAnsi="Arial" w:cs="Arial" w:hint="cs"/>
          <w:b/>
          <w:bCs/>
          <w:rtl/>
        </w:rPr>
        <w:t>المعلومات المرجعية</w:t>
      </w:r>
    </w:p>
    <w:p w14:paraId="56FB293D" w14:textId="54C4B594" w:rsidR="0096577E" w:rsidRPr="0010291E" w:rsidRDefault="0096577E" w:rsidP="00155DFC">
      <w:pPr>
        <w:pStyle w:val="EIB"/>
        <w:bidi/>
        <w:spacing w:before="100" w:beforeAutospacing="1" w:after="100" w:afterAutospacing="1"/>
        <w:rPr>
          <w:b/>
          <w:bCs/>
          <w:sz w:val="22"/>
          <w:szCs w:val="22"/>
          <w:rtl/>
        </w:rPr>
      </w:pPr>
      <w:r>
        <w:rPr>
          <w:rFonts w:hint="cs"/>
          <w:b/>
          <w:bCs/>
          <w:sz w:val="22"/>
          <w:szCs w:val="22"/>
          <w:rtl/>
        </w:rPr>
        <w:t>نبذة عن "البنك الأوروبي للاستثمار في العالم"</w:t>
      </w:r>
    </w:p>
    <w:p w14:paraId="6F8834E1" w14:textId="77777777" w:rsidR="00A31AA0" w:rsidRPr="00485D62" w:rsidRDefault="00A31AA0" w:rsidP="00155DFC">
      <w:pPr>
        <w:bidi/>
        <w:spacing w:before="100" w:beforeAutospacing="1" w:after="100" w:afterAutospacing="1" w:line="240" w:lineRule="auto"/>
        <w:jc w:val="both"/>
        <w:rPr>
          <w:rFonts w:asciiTheme="minorBidi" w:hAnsiTheme="minorBidi"/>
          <w:bCs/>
          <w:rtl/>
        </w:rPr>
      </w:pPr>
      <w:bookmarkStart w:id="0" w:name="_Hlk129280226"/>
      <w:r w:rsidRPr="00485D62">
        <w:rPr>
          <w:rFonts w:asciiTheme="minorBidi" w:hAnsiTheme="minorBidi"/>
          <w:rtl/>
        </w:rPr>
        <w:t>البنك الأوروبي للاستثمار هو مؤسسة الإقراض طويل الأجل الخاصة بالاتحاد الأوروبي ومملوك للدول الأعضاء فيه. ويمول الاستثمارات التي تسهم في تحقيق أهداف سياسة الاتحاد الأوروبي.</w:t>
      </w:r>
    </w:p>
    <w:p w14:paraId="5761A06F" w14:textId="1CD2E404" w:rsidR="00A31AA0" w:rsidRPr="00485D62" w:rsidRDefault="00A31AA0" w:rsidP="00155DFC">
      <w:pPr>
        <w:bidi/>
        <w:spacing w:before="100" w:beforeAutospacing="1" w:after="100" w:afterAutospacing="1" w:line="240" w:lineRule="auto"/>
        <w:jc w:val="both"/>
        <w:rPr>
          <w:rFonts w:asciiTheme="minorBidi" w:hAnsiTheme="minorBidi"/>
          <w:bCs/>
          <w:rtl/>
        </w:rPr>
      </w:pPr>
      <w:bookmarkStart w:id="1" w:name="_Hlk213426180"/>
      <w:r w:rsidRPr="00485D62">
        <w:rPr>
          <w:rFonts w:asciiTheme="minorBidi" w:hAnsiTheme="minorBidi"/>
          <w:rtl/>
        </w:rPr>
        <w:t xml:space="preserve">يُعد </w:t>
      </w:r>
      <w:hyperlink r:id="rId12" w:history="1">
        <w:r w:rsidRPr="00485D62">
          <w:rPr>
            <w:rStyle w:val="Hyperlink"/>
            <w:rFonts w:asciiTheme="minorBidi" w:hAnsiTheme="minorBidi"/>
            <w:sz w:val="22"/>
            <w:rtl/>
          </w:rPr>
          <w:t>البنك الأوروبي للاستثمار في العالم</w:t>
        </w:r>
      </w:hyperlink>
      <w:r w:rsidRPr="00485D62">
        <w:rPr>
          <w:rFonts w:asciiTheme="minorBidi" w:hAnsiTheme="minorBidi"/>
          <w:rtl/>
        </w:rPr>
        <w:t xml:space="preserve"> الذراع المتخصصة لمجموعة البنك الأوروبي للاستثمار والمكرسة لزيادة أثر الشراكات الدولية والتمويل الإنمائي، وهو شريك رئيسي في مبادرة البوابة العالمية. ويهدف إلى دعم استثمارات تصل قيمتها إلى حوالي 100 مليار يورو بحلول نهاية عام 2027.</w:t>
      </w:r>
      <w:bookmarkEnd w:id="1"/>
      <w:r w:rsidRPr="00485D62">
        <w:rPr>
          <w:rFonts w:asciiTheme="minorBidi" w:hAnsiTheme="minorBidi"/>
          <w:rtl/>
        </w:rPr>
        <w:t xml:space="preserve"> كما أنه يعمل على تقريب مجموعة البنك الأوروبي للاستثمار من الأفراد والشركات والمؤسسات المحلية وذلك من خلال </w:t>
      </w:r>
      <w:hyperlink r:id="rId13" w:history="1">
        <w:r w:rsidRPr="00485D62">
          <w:rPr>
            <w:rStyle w:val="Hyperlink"/>
            <w:rFonts w:asciiTheme="minorBidi" w:hAnsiTheme="minorBidi"/>
            <w:sz w:val="22"/>
            <w:rtl/>
          </w:rPr>
          <w:t>مكاتبه في جميع أنحاء العالم</w:t>
        </w:r>
      </w:hyperlink>
      <w:r w:rsidRPr="00485D62">
        <w:rPr>
          <w:rFonts w:asciiTheme="minorBidi" w:hAnsiTheme="minorBidi"/>
          <w:rtl/>
        </w:rPr>
        <w:t xml:space="preserve">. تتوفر صور مخصصة للاستخدام الإعلامي عن مقر البنك الأوروبي للاستثمار </w:t>
      </w:r>
      <w:hyperlink r:id="rId14" w:history="1">
        <w:r w:rsidRPr="00485D62">
          <w:rPr>
            <w:rStyle w:val="Hyperlink"/>
            <w:rFonts w:asciiTheme="minorBidi" w:hAnsiTheme="minorBidi"/>
            <w:sz w:val="22"/>
            <w:rtl/>
          </w:rPr>
          <w:t>هنا</w:t>
        </w:r>
      </w:hyperlink>
      <w:r w:rsidRPr="00485D62">
        <w:rPr>
          <w:rFonts w:asciiTheme="minorBidi" w:hAnsiTheme="minorBidi"/>
          <w:rtl/>
        </w:rPr>
        <w:t>.</w:t>
      </w:r>
    </w:p>
    <w:p w14:paraId="463669C7" w14:textId="77777777" w:rsidR="002022D1" w:rsidRPr="00485D62" w:rsidRDefault="002022D1" w:rsidP="00155DFC">
      <w:pPr>
        <w:pStyle w:val="EIB"/>
        <w:bidi/>
        <w:spacing w:before="100" w:beforeAutospacing="1" w:after="100" w:afterAutospacing="1"/>
        <w:rPr>
          <w:sz w:val="22"/>
          <w:szCs w:val="22"/>
          <w:rtl/>
        </w:rPr>
      </w:pPr>
      <w:r w:rsidRPr="00485D62">
        <w:rPr>
          <w:rFonts w:hint="cs"/>
          <w:b/>
          <w:bCs/>
          <w:sz w:val="22"/>
          <w:szCs w:val="22"/>
          <w:rtl/>
        </w:rPr>
        <w:t>نبذة عن مجموعة البنك الأوروبي للاستثمار</w:t>
      </w:r>
    </w:p>
    <w:p w14:paraId="3F987A93" w14:textId="57C8E10C" w:rsidR="00565A13" w:rsidRPr="00485D62" w:rsidRDefault="002022D1" w:rsidP="00155DFC">
      <w:pPr>
        <w:pStyle w:val="EIB"/>
        <w:bidi/>
        <w:spacing w:before="100" w:beforeAutospacing="1" w:after="100" w:afterAutospacing="1"/>
        <w:rPr>
          <w:sz w:val="22"/>
          <w:szCs w:val="22"/>
          <w:rtl/>
        </w:rPr>
      </w:pPr>
      <w:r w:rsidRPr="00485D62">
        <w:rPr>
          <w:rFonts w:hint="cs"/>
          <w:sz w:val="22"/>
          <w:szCs w:val="22"/>
          <w:rtl/>
        </w:rPr>
        <w:t>مجموعة البنك الأوروبي للاستثمار، التي تتكون من البنك الأوروبي للاستثمار و</w:t>
      </w:r>
      <w:hyperlink r:id="rId15" w:history="1">
        <w:r w:rsidRPr="00485D62">
          <w:rPr>
            <w:rStyle w:val="Hyperlink"/>
            <w:rFonts w:hint="cs"/>
            <w:sz w:val="22"/>
            <w:szCs w:val="22"/>
            <w:rtl/>
          </w:rPr>
          <w:t>صندوق الاستثمار الأوروبي</w:t>
        </w:r>
      </w:hyperlink>
      <w:r w:rsidRPr="00485D62">
        <w:rPr>
          <w:rFonts w:hint="cs"/>
          <w:sz w:val="22"/>
          <w:szCs w:val="22"/>
          <w:rtl/>
        </w:rPr>
        <w:t>، هي أكبر مؤسسة مالية متعددة الأطراف في العالم وأحد أكبر مقدمي التمويل للعمل المناخي. بصفته بنك الاتحاد الأوروبي، فإن المساهمين في البنك هم دول الاتحاد الأوروبي الأعضاء، ويعمل بتعاون وثيق مع المفوضية الأوروبية. وتتمثل أولويات مجموعة البنك الأوروبي للاستثمار على مستوى السياسات في تمويل الشركات الصغيرة والمتوسطة، والابتكار، ورأس المال الرقمي والبشري، والمدن والمناطق المستدامة، والطاقة المستدامة والموارد الطبيعية. ويتجاوز نشاطها حدود أوروبا ليشمل ما يزيد على 160 بلدًا.</w:t>
      </w:r>
    </w:p>
    <w:p w14:paraId="2C3DD4E3" w14:textId="6267B505" w:rsidR="0010291E" w:rsidRPr="00485D62" w:rsidRDefault="0010291E" w:rsidP="00155DFC">
      <w:pPr>
        <w:bidi/>
        <w:spacing w:before="100" w:beforeAutospacing="1" w:after="100" w:afterAutospacing="1" w:line="240" w:lineRule="auto"/>
        <w:jc w:val="both"/>
        <w:rPr>
          <w:rFonts w:ascii="Arial" w:hAnsi="Arial" w:cs="Arial"/>
          <w:b/>
          <w:bCs/>
          <w:rtl/>
        </w:rPr>
      </w:pPr>
      <w:r w:rsidRPr="00485D62">
        <w:rPr>
          <w:rFonts w:ascii="Arial" w:hAnsi="Arial" w:cs="Arial" w:hint="cs"/>
          <w:b/>
          <w:bCs/>
          <w:rtl/>
        </w:rPr>
        <w:t>نبذة عن خطة الاستثمار الخاصة بمبادرة البوابة العالمية</w:t>
      </w:r>
    </w:p>
    <w:bookmarkEnd w:id="0"/>
    <w:p w14:paraId="2BE5F834" w14:textId="7272A7D9" w:rsidR="00565A13" w:rsidRPr="00485D62" w:rsidRDefault="0010291E" w:rsidP="00155DFC">
      <w:pPr>
        <w:bidi/>
        <w:spacing w:before="100" w:beforeAutospacing="1" w:after="100" w:afterAutospacing="1" w:line="240" w:lineRule="auto"/>
        <w:jc w:val="both"/>
        <w:rPr>
          <w:rFonts w:ascii="Arial" w:eastAsia="Times New Roman" w:hAnsi="Arial" w:cs="Arial"/>
          <w:color w:val="000000"/>
          <w:rtl/>
        </w:rPr>
      </w:pPr>
      <w:r w:rsidRPr="00485D62">
        <w:rPr>
          <w:rFonts w:hint="cs"/>
          <w:rtl/>
        </w:rPr>
        <w:t xml:space="preserve">يُعد البنك الأوروبي للاستثمار في العالم من أبرز شركاء المفوضية الأوروبية في تنفيذ خطة الاستثمار الخاصة بالبوابة العالمية </w:t>
      </w:r>
      <w:hyperlink r:id="rId16" w:history="1">
        <w:r w:rsidRPr="00485D62">
          <w:rPr>
            <w:rFonts w:ascii="Arial" w:hAnsi="Arial" w:cs="Arial"/>
            <w:color w:val="000000"/>
          </w:rPr>
          <w:t>Global Gateway</w:t>
        </w:r>
      </w:hyperlink>
      <w:r w:rsidRPr="00485D62">
        <w:rPr>
          <w:rFonts w:hint="cs"/>
          <w:rtl/>
        </w:rPr>
        <w:t xml:space="preserve">، إذ يدعم المشاريع السليمة الرامية إلى </w:t>
      </w:r>
      <w:bookmarkStart w:id="2" w:name="_Hlk126705277"/>
      <w:r w:rsidRPr="00485D62">
        <w:rPr>
          <w:rFonts w:ascii="Arial" w:hAnsi="Arial" w:cs="Arial" w:hint="cs"/>
          <w:color w:val="000000"/>
          <w:rtl/>
        </w:rPr>
        <w:t>تحسين الاتصال العالمي والإقليمي في القطاعات الرقمية والمناخ وقطاعات النقل والصحة والطاقة والتعليم</w:t>
      </w:r>
      <w:bookmarkEnd w:id="2"/>
      <w:r w:rsidRPr="00485D62">
        <w:rPr>
          <w:rFonts w:hint="cs"/>
          <w:rtl/>
        </w:rPr>
        <w:t>.</w:t>
      </w:r>
      <w:r w:rsidRPr="00485D62">
        <w:rPr>
          <w:rFonts w:ascii="Arial" w:hAnsi="Arial" w:cs="Arial" w:hint="cs"/>
          <w:color w:val="000000"/>
          <w:rtl/>
        </w:rPr>
        <w:t xml:space="preserve"> ويأتي الاستثمار في مجال الاتصال في صميم العمليات التي يضطلع بها البنك الأوروبي للاستثمار في </w:t>
      </w:r>
      <w:r w:rsidRPr="00485D62">
        <w:rPr>
          <w:rFonts w:ascii="Arial" w:hAnsi="Arial" w:cs="Arial" w:hint="cs"/>
          <w:color w:val="000000"/>
          <w:rtl/>
        </w:rPr>
        <w:lastRenderedPageBreak/>
        <w:t>العالم معتمدًا على حصيلة خبرات البنك في هذا المجال التي كونها على مدار 65 عامًا.</w:t>
      </w:r>
    </w:p>
    <w:p w14:paraId="78E5C5A7" w14:textId="57A3399C" w:rsidR="00EA1472" w:rsidRPr="00485D62" w:rsidRDefault="00A31AA0" w:rsidP="00155DFC">
      <w:pPr>
        <w:bidi/>
        <w:spacing w:before="100" w:beforeAutospacing="1" w:after="100" w:afterAutospacing="1" w:line="240" w:lineRule="auto"/>
        <w:jc w:val="both"/>
        <w:rPr>
          <w:rFonts w:ascii="Arial" w:eastAsia="Times New Roman" w:hAnsi="Arial" w:cs="Arial"/>
          <w:b/>
          <w:bCs/>
          <w:color w:val="000000"/>
          <w:rtl/>
        </w:rPr>
      </w:pPr>
      <w:r w:rsidRPr="00485D62">
        <w:rPr>
          <w:rFonts w:ascii="Arial" w:hAnsi="Arial" w:cs="Arial" w:hint="cs"/>
          <w:b/>
          <w:bCs/>
          <w:color w:val="000000"/>
          <w:rtl/>
        </w:rPr>
        <w:t>نبذة عن شركة "ألتا سيمبر كابيتال"</w:t>
      </w:r>
    </w:p>
    <w:p w14:paraId="05D62DAA" w14:textId="67B86841" w:rsidR="00386FBE" w:rsidRPr="00485D62" w:rsidRDefault="00386FBE" w:rsidP="00386FBE">
      <w:pPr>
        <w:bidi/>
        <w:spacing w:before="100" w:beforeAutospacing="1" w:after="100" w:afterAutospacing="1" w:line="240" w:lineRule="auto"/>
        <w:jc w:val="both"/>
        <w:rPr>
          <w:rFonts w:ascii="Arial" w:eastAsia="Times New Roman" w:hAnsi="Arial" w:cs="Arial"/>
          <w:color w:val="000000"/>
          <w:rtl/>
        </w:rPr>
      </w:pPr>
      <w:r w:rsidRPr="00485D62">
        <w:rPr>
          <w:rFonts w:hint="cs"/>
          <w:rtl/>
        </w:rPr>
        <w:t xml:space="preserve">شركة </w:t>
      </w:r>
      <w:hyperlink r:id="rId17" w:history="1">
        <w:r w:rsidRPr="00485D62">
          <w:rPr>
            <w:rFonts w:ascii="Arial" w:hAnsi="Arial" w:cs="Arial" w:hint="cs"/>
            <w:color w:val="000000"/>
            <w:rtl/>
          </w:rPr>
          <w:t>ألتا سيمبر</w:t>
        </w:r>
      </w:hyperlink>
      <w:r w:rsidRPr="00485D62">
        <w:rPr>
          <w:rFonts w:hint="cs"/>
          <w:rtl/>
        </w:rPr>
        <w:t xml:space="preserve"> كابيتال هي شركة استثمار في الأسهم الخاصة، يتركز نشاطها على الاستثمار في مجالات الرعاية الصحية والتكنولوجيا الصحية وصحة المستهلك في الأسواق عالية النمو.</w:t>
      </w:r>
      <w:r w:rsidRPr="00485D62">
        <w:rPr>
          <w:rFonts w:ascii="Arial" w:hAnsi="Arial" w:cs="Arial" w:hint="cs"/>
          <w:color w:val="000000"/>
          <w:rtl/>
        </w:rPr>
        <w:t xml:space="preserve"> </w:t>
      </w:r>
      <w:r w:rsidRPr="00485D62">
        <w:rPr>
          <w:rFonts w:hint="cs"/>
          <w:rtl/>
        </w:rPr>
        <w:t xml:space="preserve">تشمل الاستثمارات الرئيسية للشركة، شركة </w:t>
      </w:r>
      <w:hyperlink r:id="rId18" w:history="1">
        <w:r w:rsidRPr="00485D62">
          <w:rPr>
            <w:rFonts w:ascii="Arial" w:hAnsi="Arial" w:cs="Arial" w:hint="cs"/>
            <w:color w:val="000000"/>
            <w:rtl/>
          </w:rPr>
          <w:t>ماكرو جروب للمستحضرات الطبية</w:t>
        </w:r>
      </w:hyperlink>
      <w:r w:rsidR="00F40409">
        <w:rPr>
          <w:rFonts w:ascii="Arial" w:hAnsi="Arial" w:cs="Arial" w:hint="cs"/>
          <w:color w:val="000000"/>
          <w:rtl/>
        </w:rPr>
        <w:t xml:space="preserve"> </w:t>
      </w:r>
      <w:r w:rsidRPr="00485D62">
        <w:rPr>
          <w:rFonts w:hint="cs"/>
          <w:rtl/>
        </w:rPr>
        <w:t>-</w:t>
      </w:r>
      <w:r w:rsidR="00F40409">
        <w:rPr>
          <w:rFonts w:hint="cs"/>
          <w:rtl/>
        </w:rPr>
        <w:t xml:space="preserve"> </w:t>
      </w:r>
      <w:r w:rsidRPr="00485D62">
        <w:rPr>
          <w:rFonts w:hint="cs"/>
          <w:rtl/>
        </w:rPr>
        <w:t xml:space="preserve">ماكرو كابيتال (وهي شركة رائدة في مصر في مجال مستحضرات التجميل الصيدلانية والأدوية التي لا تحمل اسمًا تجاريًا)، ومجموعة </w:t>
      </w:r>
      <w:hyperlink r:id="rId19" w:history="1">
        <w:r w:rsidRPr="00485D62">
          <w:rPr>
            <w:rFonts w:ascii="Arial" w:hAnsi="Arial" w:cs="Arial"/>
            <w:color w:val="000000"/>
          </w:rPr>
          <w:t>ODM</w:t>
        </w:r>
      </w:hyperlink>
      <w:r w:rsidRPr="00485D62">
        <w:rPr>
          <w:rFonts w:hint="cs"/>
          <w:rtl/>
        </w:rPr>
        <w:t xml:space="preserve"> (وهي منصة رائدة في المغرب في مجال الأورام والأشعة والتشخيص)، ومنصة</w:t>
      </w:r>
      <w:hyperlink r:id="rId20" w:history="1">
        <w:r w:rsidRPr="00485D62">
          <w:rPr>
            <w:rFonts w:ascii="Arial" w:hAnsi="Arial" w:cs="Arial" w:hint="cs"/>
            <w:color w:val="000000"/>
            <w:rtl/>
          </w:rPr>
          <w:t xml:space="preserve"> </w:t>
        </w:r>
        <w:r w:rsidRPr="00485D62">
          <w:rPr>
            <w:rFonts w:ascii="Arial" w:hAnsi="Arial" w:cs="Arial"/>
            <w:color w:val="000000"/>
          </w:rPr>
          <w:t>MYDAWA</w:t>
        </w:r>
      </w:hyperlink>
      <w:r w:rsidRPr="00485D62">
        <w:rPr>
          <w:rFonts w:hint="cs"/>
          <w:rtl/>
        </w:rPr>
        <w:t xml:space="preserve"> (وهي منصة رائدة في أفريقيا في مجال الصيدلة الإلكترونية وتقديم الخدمات الطبية عن بُعد)، وشركة </w:t>
      </w:r>
      <w:hyperlink r:id="rId21" w:history="1">
        <w:r w:rsidRPr="00485D62">
          <w:rPr>
            <w:rFonts w:ascii="Arial" w:hAnsi="Arial" w:cs="Arial"/>
            <w:color w:val="000000"/>
          </w:rPr>
          <w:t>Allmed Medical</w:t>
        </w:r>
      </w:hyperlink>
      <w:r w:rsidRPr="00485D62">
        <w:rPr>
          <w:rFonts w:hint="cs"/>
          <w:rtl/>
        </w:rPr>
        <w:t xml:space="preserve"> (وهي شركة رائدة في مجال ابتكار وتصنيع منتجات العناية بصحة الكلى، فضلًا عن كونها أكبر شركة مُصنِّعة للأجهزة الطبية التي يتركز نشاطها على العناية بصحة الكلى في جميع أنحاء بلدان جنوب الكرة الأرضية).</w:t>
      </w:r>
    </w:p>
    <w:p w14:paraId="3D987BAC" w14:textId="5DE0494E" w:rsidR="009409FC" w:rsidRPr="00485D62" w:rsidRDefault="009409FC" w:rsidP="00155DFC">
      <w:pPr>
        <w:bidi/>
        <w:spacing w:before="100" w:beforeAutospacing="1" w:after="100" w:afterAutospacing="1" w:line="240" w:lineRule="auto"/>
        <w:jc w:val="both"/>
        <w:rPr>
          <w:rFonts w:ascii="Arial" w:eastAsia="Times New Roman" w:hAnsi="Arial" w:cs="Arial"/>
          <w:b/>
          <w:bCs/>
          <w:color w:val="000000"/>
          <w:rtl/>
        </w:rPr>
      </w:pPr>
      <w:r w:rsidRPr="00485D62">
        <w:rPr>
          <w:rFonts w:ascii="Arial" w:hAnsi="Arial" w:cs="Arial" w:hint="cs"/>
          <w:b/>
          <w:bCs/>
          <w:color w:val="000000"/>
          <w:rtl/>
        </w:rPr>
        <w:t>نبذة عن مؤسسة التمويل الدولية</w:t>
      </w:r>
    </w:p>
    <w:p w14:paraId="701F8B86" w14:textId="0323D7FE" w:rsidR="00386FBE" w:rsidRPr="00485D62" w:rsidRDefault="00386FBE" w:rsidP="00386FBE">
      <w:pPr>
        <w:bidi/>
        <w:spacing w:before="100" w:beforeAutospacing="1" w:after="100" w:afterAutospacing="1" w:line="240" w:lineRule="auto"/>
        <w:jc w:val="both"/>
        <w:rPr>
          <w:rFonts w:ascii="Arial" w:hAnsi="Arial" w:cs="Arial"/>
          <w:rtl/>
        </w:rPr>
      </w:pPr>
      <w:r w:rsidRPr="00485D62">
        <w:rPr>
          <w:rFonts w:ascii="Arial" w:hAnsi="Arial" w:cs="Arial" w:hint="cs"/>
          <w:rtl/>
        </w:rPr>
        <w:t>مؤسسة التمويل الدولية (</w:t>
      </w:r>
      <w:r w:rsidRPr="00485D62">
        <w:rPr>
          <w:rFonts w:ascii="Arial" w:hAnsi="Arial" w:cs="Arial"/>
        </w:rPr>
        <w:t>IFC</w:t>
      </w:r>
      <w:r w:rsidRPr="00485D62">
        <w:rPr>
          <w:rFonts w:ascii="Arial" w:hAnsi="Arial" w:cs="Arial" w:hint="cs"/>
          <w:rtl/>
        </w:rPr>
        <w:t xml:space="preserve">)، أحد أعضاء مجموعة البنك الدولي، هي أكبر مؤسسة إنمائية عالمية يتركَّز عملها على القطاع الخاص في بلدان الأسواق الصاعدة. تعمل المؤسسة في أكثر من 100 بلد في أنحاء العالم، حيث تستخدم رؤوس أموالها وخبراتها ونفوذها لتهيئة الأسواق وإيجاد الفرص في البلدان النامية. وفي السنة المالية 2025، ارتبطت المؤسسة بتقديم مستوى قياسي من التمويل بلغ 71.7 مليار دولار إلى شركات ومؤسسات مالية خاصة في البلدان النامية، مُعوِّلة على حلول القطاع الخاص وتعبئة رؤوس الأموال الخاصة لخلق عالم خال من الفقر على كوكب صالح للعيش فيه. </w:t>
      </w:r>
      <w:r w:rsidRPr="00485D62">
        <w:rPr>
          <w:rFonts w:hint="cs"/>
          <w:rtl/>
        </w:rPr>
        <w:t xml:space="preserve">للمزيد من المعلومات، يُرجى زيارة موقع المؤسسة: </w:t>
      </w:r>
      <w:hyperlink r:id="rId22" w:history="1">
        <w:r w:rsidRPr="00485D62">
          <w:rPr>
            <w:rFonts w:ascii="Arial" w:hAnsi="Arial" w:cs="Arial"/>
          </w:rPr>
          <w:t>www.ifc.org</w:t>
        </w:r>
      </w:hyperlink>
      <w:r w:rsidRPr="00485D62">
        <w:rPr>
          <w:rFonts w:hint="cs"/>
          <w:rtl/>
        </w:rPr>
        <w:t>.</w:t>
      </w:r>
    </w:p>
    <w:p w14:paraId="0470C219" w14:textId="722CDF7A" w:rsidR="0096577E" w:rsidRPr="00310C23" w:rsidRDefault="0096577E" w:rsidP="00155DFC">
      <w:pPr>
        <w:bidi/>
        <w:spacing w:after="0" w:line="240" w:lineRule="auto"/>
        <w:jc w:val="both"/>
        <w:rPr>
          <w:rFonts w:ascii="Arial" w:hAnsi="Arial" w:cs="Arial"/>
          <w:b/>
          <w:bCs/>
          <w:szCs w:val="20"/>
          <w:rtl/>
        </w:rPr>
      </w:pPr>
      <w:r>
        <w:rPr>
          <w:rFonts w:ascii="Arial" w:hAnsi="Arial" w:cs="Arial" w:hint="cs"/>
          <w:b/>
          <w:bCs/>
          <w:rtl/>
        </w:rPr>
        <w:t>للاتصال الإعلامي</w:t>
      </w:r>
    </w:p>
    <w:p w14:paraId="305EAA3D" w14:textId="77777777" w:rsidR="00155DFC" w:rsidRPr="00310C23" w:rsidRDefault="00155DFC" w:rsidP="00155DFC">
      <w:pPr>
        <w:spacing w:after="0" w:line="240" w:lineRule="auto"/>
        <w:jc w:val="both"/>
        <w:rPr>
          <w:rFonts w:ascii="Arial" w:hAnsi="Arial" w:cs="Arial"/>
          <w:b/>
          <w:bCs/>
          <w:szCs w:val="20"/>
        </w:rPr>
      </w:pPr>
    </w:p>
    <w:p w14:paraId="4C7DFE0B" w14:textId="79FE400A" w:rsidR="00485D62" w:rsidRPr="00485D62" w:rsidRDefault="0096577E" w:rsidP="006269CB">
      <w:pPr>
        <w:bidi/>
        <w:spacing w:after="0" w:line="240" w:lineRule="auto"/>
        <w:jc w:val="both"/>
        <w:rPr>
          <w:rFonts w:ascii="Arial" w:hAnsi="Arial" w:cs="Arial"/>
          <w:sz w:val="20"/>
          <w:szCs w:val="20"/>
          <w:rtl/>
          <w:cs/>
        </w:rPr>
      </w:pPr>
      <w:r w:rsidRPr="00485D62">
        <w:rPr>
          <w:rFonts w:ascii="Arial" w:hAnsi="Arial" w:cs="Arial" w:hint="cs"/>
          <w:b/>
          <w:bCs/>
          <w:sz w:val="20"/>
          <w:szCs w:val="20"/>
          <w:rtl/>
        </w:rPr>
        <w:t xml:space="preserve">البنك الأوروبي للاستثمار: </w:t>
      </w:r>
      <w:r w:rsidRPr="00485D62">
        <w:rPr>
          <w:rFonts w:hint="cs"/>
          <w:b/>
          <w:bCs/>
          <w:sz w:val="20"/>
          <w:szCs w:val="20"/>
          <w:rtl/>
        </w:rPr>
        <w:t>إنريكو بوسنتي</w:t>
      </w:r>
      <w:r w:rsidRPr="00485D62">
        <w:rPr>
          <w:rFonts w:hint="cs"/>
          <w:sz w:val="20"/>
          <w:szCs w:val="20"/>
          <w:rtl/>
        </w:rPr>
        <w:t>،</w:t>
      </w:r>
      <w:r w:rsidRPr="00485D62">
        <w:rPr>
          <w:rStyle w:val="Strong"/>
          <w:rFonts w:hint="cs"/>
          <w:sz w:val="20"/>
          <w:szCs w:val="20"/>
          <w:rtl/>
        </w:rPr>
        <w:t xml:space="preserve"> </w:t>
      </w:r>
      <w:hyperlink r:id="rId23" w:history="1">
        <w:r w:rsidR="006269CB" w:rsidRPr="006E04CE">
          <w:rPr>
            <w:rStyle w:val="Hyperlink"/>
            <w:rFonts w:hint="cs"/>
            <w:szCs w:val="20"/>
            <w:rtl/>
          </w:rPr>
          <w:t xml:space="preserve"> </w:t>
        </w:r>
        <w:r w:rsidR="006269CB" w:rsidRPr="006E04CE">
          <w:rPr>
            <w:rStyle w:val="Hyperlink"/>
            <w:rFonts w:ascii="Arial" w:hAnsi="Arial" w:cs="Arial"/>
            <w:szCs w:val="20"/>
          </w:rPr>
          <w:t>e.possenti@eib.org</w:t>
        </w:r>
      </w:hyperlink>
      <w:r w:rsidR="006269CB">
        <w:rPr>
          <w:rStyle w:val="ui-iconui-icon-mail-closed"/>
          <w:rFonts w:ascii="Arial" w:hAnsi="Arial" w:cs="Arial" w:hint="cs"/>
          <w:sz w:val="20"/>
          <w:szCs w:val="20"/>
          <w:rtl/>
        </w:rPr>
        <w:t xml:space="preserve">، </w:t>
      </w:r>
      <w:r w:rsidRPr="00485D62">
        <w:rPr>
          <w:rStyle w:val="ui-iconui-icon-mail-closed"/>
          <w:rFonts w:ascii="Arial" w:hAnsi="Arial" w:cs="Arial" w:hint="cs"/>
          <w:sz w:val="20"/>
          <w:szCs w:val="20"/>
          <w:rtl/>
        </w:rPr>
        <w:t>الهاتف:</w:t>
      </w:r>
      <w:r w:rsidRPr="00485D62">
        <w:rPr>
          <w:rStyle w:val="ui-iconui-icon-eib-phone"/>
          <w:rFonts w:ascii="Arial" w:hAnsi="Arial" w:cs="Arial" w:hint="cs"/>
          <w:sz w:val="20"/>
          <w:szCs w:val="20"/>
          <w:rtl/>
        </w:rPr>
        <w:t xml:space="preserve"> </w:t>
      </w:r>
      <w:r w:rsidR="00485D62" w:rsidRPr="00485D62">
        <w:rPr>
          <w:rFonts w:ascii="Arial" w:hAnsi="Arial" w:cs="Arial"/>
          <w:sz w:val="20"/>
          <w:szCs w:val="20"/>
        </w:rPr>
        <w:t>+352 4379 82144</w:t>
      </w:r>
      <w:r w:rsidRPr="00485D62">
        <w:rPr>
          <w:rFonts w:ascii="Arial" w:hAnsi="Arial" w:cs="Arial" w:hint="cs"/>
          <w:sz w:val="20"/>
          <w:szCs w:val="20"/>
          <w:rtl/>
          <w:cs/>
        </w:rPr>
        <w:t>، الهاتف المحمول:</w:t>
      </w:r>
    </w:p>
    <w:p w14:paraId="56DF35CE" w14:textId="1887C58A" w:rsidR="00BE63CC" w:rsidRPr="00485D62" w:rsidRDefault="0096577E" w:rsidP="00485D62">
      <w:pPr>
        <w:bidi/>
        <w:spacing w:after="0" w:line="240" w:lineRule="auto"/>
        <w:jc w:val="both"/>
        <w:rPr>
          <w:rFonts w:ascii="Arial" w:hAnsi="Arial" w:cs="Arial"/>
          <w:sz w:val="20"/>
          <w:szCs w:val="20"/>
          <w:rtl/>
        </w:rPr>
      </w:pPr>
      <w:r w:rsidRPr="00485D62">
        <w:rPr>
          <w:rFonts w:ascii="Arial" w:hAnsi="Arial" w:cs="Arial" w:hint="cs"/>
          <w:sz w:val="20"/>
          <w:szCs w:val="20"/>
          <w:rtl/>
          <w:cs/>
        </w:rPr>
        <w:t xml:space="preserve"> </w:t>
      </w:r>
      <w:r w:rsidR="00485D62" w:rsidRPr="00485D62">
        <w:rPr>
          <w:rFonts w:ascii="Arial" w:hAnsi="Arial" w:cs="Arial"/>
          <w:sz w:val="20"/>
          <w:szCs w:val="20"/>
        </w:rPr>
        <w:t>+352 691 28 55 32</w:t>
      </w:r>
    </w:p>
    <w:p w14:paraId="5C7C0817" w14:textId="5BBF59A7" w:rsidR="0096577E" w:rsidRPr="00485D62" w:rsidRDefault="0096577E" w:rsidP="00155DFC">
      <w:pPr>
        <w:bidi/>
        <w:spacing w:after="0" w:line="240" w:lineRule="auto"/>
        <w:jc w:val="both"/>
        <w:rPr>
          <w:sz w:val="20"/>
          <w:szCs w:val="20"/>
          <w:rtl/>
        </w:rPr>
      </w:pPr>
      <w:r w:rsidRPr="00485D62">
        <w:rPr>
          <w:rFonts w:hint="cs"/>
          <w:sz w:val="20"/>
          <w:szCs w:val="20"/>
          <w:rtl/>
        </w:rPr>
        <w:t>الموقع الإلكتروني:</w:t>
      </w:r>
      <w:hyperlink r:id="rId24" w:history="1">
        <w:r w:rsidRPr="00485D62">
          <w:rPr>
            <w:rFonts w:ascii="Arial" w:hAnsi="Arial" w:cs="Arial" w:hint="cs"/>
            <w:sz w:val="20"/>
            <w:szCs w:val="20"/>
            <w:rtl/>
          </w:rPr>
          <w:t xml:space="preserve"> </w:t>
        </w:r>
        <w:r w:rsidRPr="00485D62">
          <w:rPr>
            <w:rStyle w:val="Hyperlink"/>
            <w:rFonts w:ascii="Arial" w:hAnsi="Arial" w:cs="Arial"/>
            <w:szCs w:val="20"/>
          </w:rPr>
          <w:t>www.eib.org/press</w:t>
        </w:r>
      </w:hyperlink>
      <w:r w:rsidRPr="00485D62">
        <w:rPr>
          <w:rFonts w:ascii="Arial" w:hAnsi="Arial" w:cs="Arial"/>
          <w:sz w:val="20"/>
          <w:szCs w:val="20"/>
        </w:rPr>
        <w:t xml:space="preserve"> </w:t>
      </w:r>
      <w:r w:rsidRPr="00485D62">
        <w:rPr>
          <w:rFonts w:ascii="Arial" w:hAnsi="Arial" w:cs="Arial"/>
          <w:color w:val="000000"/>
          <w:sz w:val="20"/>
          <w:szCs w:val="20"/>
          <w:shd w:val="clear" w:color="auto" w:fill="FFFFFF"/>
        </w:rPr>
        <w:t xml:space="preserve">– </w:t>
      </w:r>
      <w:r w:rsidRPr="00485D62">
        <w:rPr>
          <w:rFonts w:ascii="Arial" w:hAnsi="Arial" w:cs="Arial" w:hint="cs"/>
          <w:sz w:val="20"/>
          <w:szCs w:val="20"/>
          <w:rtl/>
        </w:rPr>
        <w:t xml:space="preserve">المكتب الإعلامي: </w:t>
      </w:r>
      <w:hyperlink r:id="rId25" w:history="1">
        <w:r w:rsidRPr="00485D62">
          <w:rPr>
            <w:rStyle w:val="Hyperlink"/>
            <w:rFonts w:ascii="Arial" w:hAnsi="Arial" w:cs="Arial"/>
            <w:szCs w:val="20"/>
          </w:rPr>
          <w:t>press@eib.org</w:t>
        </w:r>
      </w:hyperlink>
    </w:p>
    <w:p w14:paraId="1D4F51B8" w14:textId="11AD1F51" w:rsidR="0096577E" w:rsidRPr="00485D62" w:rsidRDefault="0096577E" w:rsidP="00155DFC">
      <w:pPr>
        <w:bidi/>
        <w:spacing w:after="0" w:line="240" w:lineRule="auto"/>
        <w:rPr>
          <w:sz w:val="20"/>
          <w:szCs w:val="20"/>
          <w:rtl/>
        </w:rPr>
      </w:pPr>
      <w:hyperlink r:id="rId26" w:history="1">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Pr="00485D62">
          <w:rPr>
            <w:rFonts w:hint="cs"/>
            <w:sz w:val="20"/>
            <w:szCs w:val="20"/>
            <w:rtl/>
          </w:rPr>
          <w:fldChar w:fldCharType="begin"/>
        </w:r>
        <w:r w:rsidRPr="00485D62">
          <w:rPr>
            <w:sz w:val="20"/>
            <w:szCs w:val="20"/>
            <w:rtl/>
          </w:rPr>
          <w:instrText xml:space="preserve"> </w:instrText>
        </w:r>
        <w:r w:rsidRPr="00485D62">
          <w:rPr>
            <w:rFonts w:hint="cs"/>
            <w:sz w:val="20"/>
            <w:szCs w:val="20"/>
          </w:rPr>
          <w:instrText xml:space="preserve">INCLUDEPICTURE  "cid:image007.png@01D4A773.FF9D17F0" \* MERGEFORMATINET </w:instrText>
        </w:r>
        <w:r w:rsidRPr="00485D62">
          <w:rPr>
            <w:rFonts w:hint="cs"/>
            <w:sz w:val="20"/>
            <w:szCs w:val="20"/>
            <w:rtl/>
          </w:rPr>
          <w:fldChar w:fldCharType="separate"/>
        </w:r>
        <w:r w:rsidR="00D9434C" w:rsidRPr="00485D62">
          <w:rPr>
            <w:sz w:val="20"/>
            <w:szCs w:val="20"/>
          </w:rPr>
          <w:fldChar w:fldCharType="begin"/>
        </w:r>
        <w:r w:rsidR="00D9434C" w:rsidRPr="00485D62">
          <w:rPr>
            <w:sz w:val="20"/>
            <w:szCs w:val="20"/>
          </w:rPr>
          <w:instrText xml:space="preserve"> INCLUDEPICTURE  "cid:image007.png@01D4A773.FF9D17F0" \* MERGEFORMATINET </w:instrText>
        </w:r>
        <w:r w:rsidR="00D9434C" w:rsidRPr="00485D62">
          <w:rPr>
            <w:sz w:val="20"/>
            <w:szCs w:val="20"/>
          </w:rPr>
          <w:fldChar w:fldCharType="separate"/>
        </w:r>
        <w:r w:rsidR="003F3168">
          <w:rPr>
            <w:sz w:val="20"/>
            <w:szCs w:val="20"/>
          </w:rPr>
          <w:fldChar w:fldCharType="begin"/>
        </w:r>
        <w:r w:rsidR="003F3168">
          <w:rPr>
            <w:sz w:val="20"/>
            <w:szCs w:val="20"/>
          </w:rPr>
          <w:instrText xml:space="preserve"> INCLUDEPICTURE  "cid:image007.png@01D4A773.FF9D17F0" \* MERGEFORMATINET </w:instrText>
        </w:r>
        <w:r w:rsidR="003F3168">
          <w:rPr>
            <w:sz w:val="20"/>
            <w:szCs w:val="20"/>
          </w:rPr>
          <w:fldChar w:fldCharType="separate"/>
        </w:r>
        <w:r w:rsidR="00000000">
          <w:rPr>
            <w:sz w:val="20"/>
            <w:szCs w:val="20"/>
          </w:rPr>
          <w:fldChar w:fldCharType="begin"/>
        </w:r>
        <w:r w:rsidR="00000000">
          <w:rPr>
            <w:sz w:val="20"/>
            <w:szCs w:val="20"/>
          </w:rPr>
          <w:instrText xml:space="preserve"> INCLUDEPICTURE  "cid:image007.png@01D4A773.FF9D17F0" \* MERGEFORMATINET </w:instrText>
        </w:r>
        <w:r w:rsidR="00000000">
          <w:rPr>
            <w:sz w:val="20"/>
            <w:szCs w:val="20"/>
          </w:rPr>
          <w:fldChar w:fldCharType="separate"/>
        </w:r>
        <w:r w:rsidR="00194CA6">
          <w:rPr>
            <w:sz w:val="20"/>
            <w:szCs w:val="20"/>
          </w:rPr>
          <w:pict w14:anchorId="57679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5pt;height:11.5pt;visibility:visible">
              <v:imagedata r:id="rId27" r:href="rId28"/>
            </v:shape>
          </w:pict>
        </w:r>
        <w:r w:rsidR="00000000">
          <w:rPr>
            <w:sz w:val="20"/>
            <w:szCs w:val="20"/>
          </w:rPr>
          <w:fldChar w:fldCharType="end"/>
        </w:r>
        <w:r w:rsidR="003F3168">
          <w:rPr>
            <w:sz w:val="20"/>
            <w:szCs w:val="20"/>
          </w:rPr>
          <w:fldChar w:fldCharType="end"/>
        </w:r>
        <w:r w:rsidR="00D9434C" w:rsidRPr="00485D62">
          <w:rPr>
            <w:sz w:val="20"/>
            <w:szCs w:val="20"/>
          </w:rPr>
          <w:fldChar w:fldCharType="end"/>
        </w:r>
        <w:r w:rsidRPr="00485D62">
          <w:rPr>
            <w:rFonts w:hint="cs"/>
            <w:sz w:val="20"/>
            <w:szCs w:val="20"/>
            <w:rtl/>
          </w:rPr>
          <w:fldChar w:fldCharType="end"/>
        </w:r>
        <w:r w:rsidRPr="00485D62">
          <w:rPr>
            <w:rFonts w:hint="cs"/>
            <w:sz w:val="20"/>
            <w:szCs w:val="20"/>
            <w:rtl/>
          </w:rPr>
          <w:fldChar w:fldCharType="end"/>
        </w:r>
        <w:r w:rsidRPr="00485D62">
          <w:rPr>
            <w:rFonts w:hint="cs"/>
            <w:sz w:val="20"/>
            <w:szCs w:val="20"/>
            <w:rtl/>
          </w:rPr>
          <w:fldChar w:fldCharType="end"/>
        </w:r>
        <w:r w:rsidRPr="00485D62">
          <w:rPr>
            <w:rFonts w:hint="cs"/>
            <w:sz w:val="20"/>
            <w:szCs w:val="20"/>
            <w:rtl/>
          </w:rPr>
          <w:fldChar w:fldCharType="end"/>
        </w:r>
        <w:r w:rsidRPr="00485D62">
          <w:rPr>
            <w:rFonts w:hint="cs"/>
            <w:sz w:val="20"/>
            <w:szCs w:val="20"/>
            <w:rtl/>
          </w:rPr>
          <w:fldChar w:fldCharType="end"/>
        </w:r>
        <w:r w:rsidRPr="00485D62">
          <w:rPr>
            <w:rFonts w:hint="cs"/>
            <w:sz w:val="20"/>
            <w:szCs w:val="20"/>
            <w:rtl/>
          </w:rPr>
          <w:fldChar w:fldCharType="end"/>
        </w:r>
        <w:r w:rsidRPr="00485D62">
          <w:rPr>
            <w:rFonts w:hint="cs"/>
            <w:sz w:val="20"/>
            <w:szCs w:val="20"/>
            <w:rtl/>
          </w:rPr>
          <w:fldChar w:fldCharType="end"/>
        </w:r>
      </w:hyperlink>
      <w:r w:rsidRPr="00485D62">
        <w:rPr>
          <w:rFonts w:hint="cs"/>
          <w:noProof/>
          <w:sz w:val="20"/>
          <w:szCs w:val="20"/>
          <w:rtl/>
          <w:lang w:val="en-US"/>
        </w:rPr>
        <w:drawing>
          <wp:inline distT="0" distB="0" distL="0" distR="0" wp14:anchorId="3A29C078" wp14:editId="6EC9810D">
            <wp:extent cx="146050" cy="146050"/>
            <wp:effectExtent l="0" t="0" r="6350" b="6350"/>
            <wp:docPr id="1660234355" name="Picture 1660234355" descr="Instagram icon hyperlink">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nstagram icon hyperlink">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4368B82C" wp14:editId="236E51EB">
            <wp:extent cx="144780" cy="144780"/>
            <wp:effectExtent l="0" t="0" r="7620" b="7620"/>
            <wp:docPr id="297587883" name="Picture 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2"/>
                    </pic:cNvPr>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5A49675B" wp14:editId="4D0EF6BC">
            <wp:extent cx="144780" cy="144780"/>
            <wp:effectExtent l="0" t="0" r="7620" b="7620"/>
            <wp:docPr id="951756796" name="Picture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56796" name="Picture 1">
                      <a:hlinkClick r:id="rId34"/>
                    </pic:cNvPr>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521C5A9F" wp14:editId="24CD54D0">
            <wp:extent cx="146050" cy="146050"/>
            <wp:effectExtent l="0" t="0" r="6350" b="6350"/>
            <wp:docPr id="18904659" name="Picture 18904659">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48497" name="Picture 1883948497">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146050" cy="14605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743B7B3D" wp14:editId="28F3BE89">
            <wp:extent cx="146050" cy="146050"/>
            <wp:effectExtent l="0" t="0" r="6350" b="6350"/>
            <wp:docPr id="1691887360" name="Picture 1691887360" descr="Facebook icon hyperlink">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acebook icon hyperlink">
                      <a:hlinkClick r:id="rId38"/>
                    </pic:cNvPr>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29E14C7C" wp14:editId="43400C29">
            <wp:extent cx="144780" cy="144780"/>
            <wp:effectExtent l="0" t="0" r="7620" b="7620"/>
            <wp:docPr id="305762012" name="Picture 30576201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62012" name="Picture 305762012">
                      <a:hlinkClick r:id="rId41"/>
                    </pic:cNvPr>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bwMode="auto">
                    <a:xfrm>
                      <a:off x="0" y="0"/>
                      <a:ext cx="144780" cy="14478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0B1F55F1" wp14:editId="4C30B83F">
            <wp:extent cx="146050" cy="146050"/>
            <wp:effectExtent l="0" t="0" r="6350" b="6350"/>
            <wp:docPr id="23592451" name="Picture 23592451" descr="Youtube icon hyperlink">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tube icon hyperlink">
                      <a:hlinkClick r:id="rId43"/>
                    </pic:cNvPr>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485D62">
        <w:rPr>
          <w:sz w:val="20"/>
          <w:szCs w:val="20"/>
        </w:rPr>
        <w:t xml:space="preserve"> </w:t>
      </w:r>
      <w:r w:rsidRPr="00485D62">
        <w:rPr>
          <w:rFonts w:hint="cs"/>
          <w:noProof/>
          <w:sz w:val="20"/>
          <w:szCs w:val="20"/>
          <w:rtl/>
          <w:lang w:val="en-US"/>
        </w:rPr>
        <w:drawing>
          <wp:inline distT="0" distB="0" distL="0" distR="0" wp14:anchorId="04191D7C" wp14:editId="528CD44B">
            <wp:extent cx="146050" cy="146050"/>
            <wp:effectExtent l="0" t="0" r="6350" b="6350"/>
            <wp:docPr id="1129781861" name="Picture 1129781861" descr="Rss news icon hyperlink">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ss news icon hyperlink">
                      <a:hlinkClick r:id="rId46"/>
                    </pic:cNvPr>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485D62">
        <w:rPr>
          <w:rFonts w:hint="cs"/>
          <w:sz w:val="20"/>
          <w:szCs w:val="20"/>
          <w:rtl/>
        </w:rPr>
        <w:t xml:space="preserve"> </w:t>
      </w:r>
    </w:p>
    <w:p w14:paraId="661B59A2" w14:textId="77777777" w:rsidR="00155DFC" w:rsidRPr="00485D62" w:rsidRDefault="00155DFC" w:rsidP="00155DFC">
      <w:pPr>
        <w:spacing w:after="0" w:line="240" w:lineRule="auto"/>
        <w:rPr>
          <w:rStyle w:val="Hyperlink"/>
          <w:rFonts w:cs="Arial"/>
          <w:szCs w:val="20"/>
        </w:rPr>
      </w:pPr>
    </w:p>
    <w:p w14:paraId="48D64D0C" w14:textId="63028EEE" w:rsidR="00565A13" w:rsidRPr="00485D62" w:rsidRDefault="00386FBE" w:rsidP="00485D62">
      <w:pPr>
        <w:bidi/>
        <w:jc w:val="both"/>
        <w:rPr>
          <w:rFonts w:ascii="Arial" w:hAnsi="Arial" w:cs="Arial"/>
          <w:b/>
          <w:bCs/>
          <w:sz w:val="20"/>
          <w:szCs w:val="20"/>
          <w:rtl/>
        </w:rPr>
      </w:pPr>
      <w:r w:rsidRPr="00485D62">
        <w:rPr>
          <w:rFonts w:ascii="Arial" w:hAnsi="Arial" w:cs="Arial" w:hint="cs"/>
          <w:b/>
          <w:bCs/>
          <w:sz w:val="20"/>
          <w:szCs w:val="20"/>
          <w:rtl/>
        </w:rPr>
        <w:t xml:space="preserve">شركة "ألتا سيمبر كابيتال": </w:t>
      </w:r>
      <w:r w:rsidRPr="00485D62">
        <w:rPr>
          <w:rFonts w:hint="cs"/>
          <w:b/>
          <w:bCs/>
          <w:sz w:val="20"/>
          <w:szCs w:val="20"/>
          <w:rtl/>
        </w:rPr>
        <w:t xml:space="preserve">جولشان باتول، </w:t>
      </w:r>
      <w:hyperlink r:id="rId49" w:history="1">
        <w:r w:rsidRPr="00485D62">
          <w:rPr>
            <w:rStyle w:val="Hyperlink"/>
            <w:szCs w:val="20"/>
          </w:rPr>
          <w:t>info@altasemper.com</w:t>
        </w:r>
      </w:hyperlink>
      <w:r w:rsidR="00485D62" w:rsidRPr="00485D62">
        <w:rPr>
          <w:rStyle w:val="Hyperlink"/>
          <w:rFonts w:hint="cs"/>
          <w:szCs w:val="20"/>
          <w:u w:val="none"/>
          <w:rtl/>
        </w:rPr>
        <w:t xml:space="preserve">، </w:t>
      </w:r>
      <w:r w:rsidRPr="00485D62">
        <w:rPr>
          <w:rFonts w:hint="cs"/>
          <w:sz w:val="20"/>
          <w:szCs w:val="20"/>
          <w:rtl/>
        </w:rPr>
        <w:t xml:space="preserve">الموقع الإلكتروني: </w:t>
      </w:r>
      <w:r w:rsidRPr="00485D62">
        <w:rPr>
          <w:sz w:val="20"/>
          <w:szCs w:val="20"/>
        </w:rPr>
        <w:t>www.altasemper.com</w:t>
      </w:r>
    </w:p>
    <w:p w14:paraId="38A80746" w14:textId="306FB743" w:rsidR="00386FBE" w:rsidRPr="00485D62" w:rsidRDefault="00386FBE" w:rsidP="00386FBE">
      <w:pPr>
        <w:bidi/>
        <w:jc w:val="both"/>
        <w:rPr>
          <w:rFonts w:ascii="Arial" w:hAnsi="Arial" w:cs="Arial"/>
          <w:b/>
          <w:bCs/>
          <w:sz w:val="20"/>
          <w:szCs w:val="20"/>
          <w:rtl/>
        </w:rPr>
      </w:pPr>
      <w:r w:rsidRPr="00485D62">
        <w:rPr>
          <w:rFonts w:hint="cs"/>
          <w:noProof/>
          <w:sz w:val="20"/>
          <w:szCs w:val="20"/>
          <w:rtl/>
          <w:lang w:val="en-US"/>
        </w:rPr>
        <w:drawing>
          <wp:inline distT="0" distB="0" distL="0" distR="0" wp14:anchorId="2C5A99D1" wp14:editId="2ACBB082">
            <wp:extent cx="146050" cy="146050"/>
            <wp:effectExtent l="0" t="0" r="6350" b="6350"/>
            <wp:docPr id="2012120359" name="Picture 2012120359" descr="Linkedin icon hyperlink">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20359" name="Picture 2012120359" descr="Linkedin icon hyperlink">
                      <a:hlinkClick r:id="rId50"/>
                    </pic:cNvPr>
                    <pic:cNvPicPr>
                      <a:picLocks noChangeAspect="1" noChangeArrowheads="1"/>
                    </pic:cNvPicPr>
                  </pic:nvPicPr>
                  <pic:blipFill>
                    <a:blip r:embed="rId51" r:link="rId28">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212BE771" w14:textId="3D997906" w:rsidR="00386FBE" w:rsidRPr="00485D62" w:rsidRDefault="00386FBE" w:rsidP="00485D62">
      <w:pPr>
        <w:bidi/>
        <w:jc w:val="both"/>
        <w:rPr>
          <w:rFonts w:ascii="Arial" w:hAnsi="Arial" w:cs="Arial"/>
          <w:sz w:val="20"/>
          <w:szCs w:val="20"/>
          <w:rtl/>
        </w:rPr>
      </w:pPr>
      <w:r w:rsidRPr="00485D62">
        <w:rPr>
          <w:rFonts w:ascii="Arial" w:hAnsi="Arial" w:cs="Arial" w:hint="cs"/>
          <w:b/>
          <w:bCs/>
          <w:sz w:val="20"/>
          <w:szCs w:val="20"/>
          <w:rtl/>
        </w:rPr>
        <w:t xml:space="preserve">مؤسسة التمويل الدولية: </w:t>
      </w:r>
      <w:r w:rsidRPr="00485D62">
        <w:rPr>
          <w:rFonts w:hint="cs"/>
          <w:b/>
          <w:bCs/>
          <w:sz w:val="20"/>
          <w:szCs w:val="20"/>
          <w:rtl/>
        </w:rPr>
        <w:t>سارة على موسى،</w:t>
      </w:r>
      <w:hyperlink r:id="rId52" w:history="1">
        <w:r w:rsidRPr="00485D62">
          <w:rPr>
            <w:rFonts w:hint="cs"/>
            <w:sz w:val="20"/>
            <w:szCs w:val="20"/>
            <w:rtl/>
          </w:rPr>
          <w:t xml:space="preserve"> </w:t>
        </w:r>
        <w:r w:rsidRPr="00485D62">
          <w:rPr>
            <w:rStyle w:val="Hyperlink"/>
            <w:rFonts w:ascii="Arial" w:hAnsi="Arial" w:cs="Arial"/>
            <w:szCs w:val="20"/>
          </w:rPr>
          <w:t>Smoussa1@ifc.org</w:t>
        </w:r>
      </w:hyperlink>
      <w:r w:rsidRPr="00485D62">
        <w:rPr>
          <w:rFonts w:hint="cs"/>
          <w:sz w:val="20"/>
          <w:szCs w:val="20"/>
          <w:rtl/>
        </w:rPr>
        <w:t>، الهاتف:</w:t>
      </w:r>
      <w:r w:rsidRPr="00485D62">
        <w:rPr>
          <w:rStyle w:val="ui-iconui-icon-eib-phone"/>
          <w:rFonts w:ascii="Arial" w:hAnsi="Arial" w:cs="Arial" w:hint="cs"/>
          <w:sz w:val="20"/>
          <w:szCs w:val="20"/>
          <w:rtl/>
        </w:rPr>
        <w:t xml:space="preserve"> </w:t>
      </w:r>
      <w:r w:rsidR="00485D62" w:rsidRPr="00485D62">
        <w:rPr>
          <w:rFonts w:ascii="Arial" w:hAnsi="Arial" w:cs="Arial"/>
          <w:sz w:val="20"/>
          <w:szCs w:val="20"/>
        </w:rPr>
        <w:t>+20 100 102 2872</w:t>
      </w:r>
    </w:p>
    <w:p w14:paraId="2FD30A9D" w14:textId="3A42A9AB" w:rsidR="009409FC" w:rsidRPr="00A31AA0" w:rsidRDefault="009409FC" w:rsidP="00386FBE">
      <w:pPr>
        <w:spacing w:after="0" w:line="240" w:lineRule="auto"/>
        <w:jc w:val="both"/>
        <w:rPr>
          <w:rFonts w:ascii="Arial" w:hAnsi="Arial" w:cs="Arial"/>
          <w:b/>
          <w:bCs/>
          <w:sz w:val="20"/>
          <w:szCs w:val="20"/>
        </w:rPr>
      </w:pPr>
    </w:p>
    <w:sectPr w:rsidR="009409FC" w:rsidRPr="00A31AA0">
      <w:headerReference w:type="even" r:id="rId53"/>
      <w:headerReference w:type="default" r:id="rId54"/>
      <w:head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36A9" w14:textId="77777777" w:rsidR="00B574B3" w:rsidRDefault="00B574B3" w:rsidP="00591587">
      <w:pPr>
        <w:spacing w:after="0" w:line="240" w:lineRule="auto"/>
      </w:pPr>
      <w:r>
        <w:separator/>
      </w:r>
    </w:p>
  </w:endnote>
  <w:endnote w:type="continuationSeparator" w:id="0">
    <w:p w14:paraId="4BE0B5C9" w14:textId="77777777" w:rsidR="00B574B3" w:rsidRDefault="00B574B3" w:rsidP="00591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F6B7" w14:textId="77777777" w:rsidR="00B574B3" w:rsidRDefault="00B574B3" w:rsidP="00591587">
      <w:pPr>
        <w:spacing w:after="0" w:line="240" w:lineRule="auto"/>
      </w:pPr>
      <w:r>
        <w:separator/>
      </w:r>
    </w:p>
  </w:footnote>
  <w:footnote w:type="continuationSeparator" w:id="0">
    <w:p w14:paraId="5341362F" w14:textId="77777777" w:rsidR="00B574B3" w:rsidRDefault="00B574B3" w:rsidP="00591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B30" w14:textId="093A2EDC" w:rsidR="00591587" w:rsidRDefault="00591587">
    <w:pPr>
      <w:pStyle w:val="Header"/>
      <w:bidi/>
      <w:rPr>
        <w:rtl/>
      </w:rPr>
    </w:pPr>
    <w:r>
      <w:rPr>
        <w:rFonts w:hint="cs"/>
        <w:noProof/>
        <w:rtl/>
        <w:lang w:val="en-US"/>
      </w:rPr>
      <mc:AlternateContent>
        <mc:Choice Requires="wps">
          <w:drawing>
            <wp:anchor distT="0" distB="0" distL="0" distR="0" simplePos="0" relativeHeight="251659264" behindDoc="0" locked="0" layoutInCell="1" allowOverlap="1" wp14:anchorId="18246C0A" wp14:editId="3F37EEDB">
              <wp:simplePos x="635" y="635"/>
              <wp:positionH relativeFrom="page">
                <wp:align>center</wp:align>
              </wp:positionH>
              <wp:positionV relativeFrom="page">
                <wp:align>top</wp:align>
              </wp:positionV>
              <wp:extent cx="311150" cy="357505"/>
              <wp:effectExtent l="0" t="0" r="12700" b="4445"/>
              <wp:wrapNone/>
              <wp:docPr id="161777688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1E614F63" w14:textId="162F5385" w:rsidR="00591587" w:rsidRPr="00591587" w:rsidRDefault="00591587" w:rsidP="00591587">
                          <w:pPr>
                            <w:bidi/>
                            <w:spacing w:after="0"/>
                            <w:rPr>
                              <w:rFonts w:ascii="Calibri" w:eastAsia="Calibri" w:hAnsi="Calibri" w:cs="Arial"/>
                              <w:noProof/>
                              <w:color w:val="808080"/>
                              <w:sz w:val="20"/>
                              <w:szCs w:val="20"/>
                              <w:rtl/>
                            </w:rPr>
                          </w:pPr>
                          <w:r>
                            <w:rPr>
                              <w:rFonts w:ascii="Calibri" w:hAnsi="Calibri" w:cs="Arial"/>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246C0A" id="_x0000_t202" coordsize="21600,21600" o:spt="202" path="m,l,21600r21600,l21600,xe">
              <v:stroke joinstyle="miter"/>
              <v:path gradientshapeok="t" o:connecttype="rect"/>
            </v:shapetype>
            <v:shape id="Text Box 2" o:spid="_x0000_s1026" type="#_x0000_t202" alt="Public" style="position:absolute;left:0;text-align:left;margin-left:0;margin-top:0;width:24.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" filled="f" stroked="f">
              <v:textbox style="mso-fit-shape-to-text:t" inset="0,15pt,0,0">
                <w:txbxContent>
                  <w:p w14:paraId="1E614F63" w14:textId="162F5385" w:rsidR="00591587" w:rsidRPr="00591587" w:rsidRDefault="00591587" w:rsidP="00591587">
                    <w:pPr>
                      <w:bidi/>
                      <w:spacing w:after="0"/>
                      <w:rPr>
                        <w:rFonts w:ascii="Calibri" w:eastAsia="Calibri" w:hAnsi="Calibri" w:cs="Arial"/>
                        <w:noProof/>
                        <w:color w:val="808080"/>
                        <w:sz w:val="20"/>
                        <w:szCs w:val="20"/>
                        <w:rtl/>
                      </w:rPr>
                    </w:pPr>
                    <w:r>
                      <w:rPr>
                        <w:rFonts w:ascii="Calibri" w:hAnsi="Calibri" w:cs="Arial"/>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DF0E" w14:textId="3ECF7918" w:rsidR="00591587" w:rsidRDefault="00591587">
    <w:pPr>
      <w:pStyle w:val="Header"/>
      <w:bidi/>
      <w:rPr>
        <w:rtl/>
      </w:rPr>
    </w:pPr>
    <w:r>
      <w:rPr>
        <w:rFonts w:hint="cs"/>
        <w:noProof/>
        <w:rtl/>
        <w:lang w:val="en-US"/>
      </w:rPr>
      <mc:AlternateContent>
        <mc:Choice Requires="wps">
          <w:drawing>
            <wp:anchor distT="0" distB="0" distL="0" distR="0" simplePos="0" relativeHeight="251660288" behindDoc="0" locked="0" layoutInCell="1" allowOverlap="1" wp14:anchorId="38655C2B" wp14:editId="2EF2A88F">
              <wp:simplePos x="914400" y="451104"/>
              <wp:positionH relativeFrom="page">
                <wp:align>center</wp:align>
              </wp:positionH>
              <wp:positionV relativeFrom="page">
                <wp:align>top</wp:align>
              </wp:positionV>
              <wp:extent cx="311150" cy="357505"/>
              <wp:effectExtent l="0" t="0" r="12700" b="4445"/>
              <wp:wrapNone/>
              <wp:docPr id="41761869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429D5A93" w14:textId="6570875A" w:rsidR="00591587" w:rsidRPr="00485D62" w:rsidRDefault="00485D62" w:rsidP="00591587">
                          <w:pPr>
                            <w:bidi/>
                            <w:spacing w:after="0"/>
                            <w:rPr>
                              <w:rFonts w:ascii="Calibri" w:eastAsia="Calibri" w:hAnsi="Calibri" w:cs="Arial"/>
                              <w:noProof/>
                              <w:color w:val="808080"/>
                              <w:sz w:val="20"/>
                              <w:szCs w:val="20"/>
                              <w:rtl/>
                              <w:lang w:val="en-US" w:bidi="ar-EG"/>
                            </w:rPr>
                          </w:pPr>
                          <w:r>
                            <w:rPr>
                              <w:rFonts w:ascii="Calibri" w:hAnsi="Calibri" w:cs="Arial" w:hint="cs"/>
                              <w:color w:val="808080"/>
                              <w:sz w:val="20"/>
                              <w:szCs w:val="20"/>
                              <w:rtl/>
                              <w:lang w:val="en-US" w:bidi="ar-EG"/>
                            </w:rPr>
                            <w:t>علني</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55C2B" id="_x0000_t202" coordsize="21600,21600" o:spt="202" path="m,l,21600r21600,l21600,xe">
              <v:stroke joinstyle="miter"/>
              <v:path gradientshapeok="t" o:connecttype="rect"/>
            </v:shapetype>
            <v:shape id="Text Box 3" o:spid="_x0000_s1027" type="#_x0000_t202" alt="Public" style="position:absolute;left:0;text-align:left;margin-left:0;margin-top:0;width:24.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" filled="f" stroked="f">
              <v:textbox style="mso-fit-shape-to-text:t" inset="0,15pt,0,0">
                <w:txbxContent>
                  <w:p w14:paraId="429D5A93" w14:textId="6570875A" w:rsidR="00591587" w:rsidRPr="00485D62" w:rsidRDefault="00485D62" w:rsidP="00591587">
                    <w:pPr>
                      <w:bidi/>
                      <w:spacing w:after="0"/>
                      <w:rPr>
                        <w:rFonts w:ascii="Calibri" w:eastAsia="Calibri" w:hAnsi="Calibri" w:cs="Arial"/>
                        <w:noProof/>
                        <w:color w:val="808080"/>
                        <w:sz w:val="20"/>
                        <w:szCs w:val="20"/>
                        <w:rtl/>
                        <w:lang w:val="en-US" w:bidi="ar-EG"/>
                      </w:rPr>
                    </w:pPr>
                    <w:r>
                      <w:rPr>
                        <w:rFonts w:ascii="Calibri" w:hAnsi="Calibri" w:cs="Arial" w:hint="cs"/>
                        <w:color w:val="808080"/>
                        <w:sz w:val="20"/>
                        <w:szCs w:val="20"/>
                        <w:rtl/>
                        <w:lang w:val="en-US" w:bidi="ar-EG"/>
                      </w:rPr>
                      <w:t>علني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F56C" w14:textId="4E9B6263" w:rsidR="00591587" w:rsidRDefault="00591587">
    <w:pPr>
      <w:pStyle w:val="Header"/>
      <w:bidi/>
      <w:rPr>
        <w:rtl/>
      </w:rPr>
    </w:pPr>
    <w:r>
      <w:rPr>
        <w:rFonts w:hint="cs"/>
        <w:noProof/>
        <w:rtl/>
        <w:lang w:val="en-US"/>
      </w:rPr>
      <mc:AlternateContent>
        <mc:Choice Requires="wps">
          <w:drawing>
            <wp:anchor distT="0" distB="0" distL="0" distR="0" simplePos="0" relativeHeight="251658240" behindDoc="0" locked="0" layoutInCell="1" allowOverlap="1" wp14:anchorId="3A1A5D70" wp14:editId="585A11CF">
              <wp:simplePos x="635" y="635"/>
              <wp:positionH relativeFrom="page">
                <wp:align>center</wp:align>
              </wp:positionH>
              <wp:positionV relativeFrom="page">
                <wp:align>top</wp:align>
              </wp:positionV>
              <wp:extent cx="311150" cy="357505"/>
              <wp:effectExtent l="0" t="0" r="12700" b="4445"/>
              <wp:wrapNone/>
              <wp:docPr id="9340475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57505"/>
                      </a:xfrm>
                      <a:prstGeom prst="rect">
                        <a:avLst/>
                      </a:prstGeom>
                      <a:noFill/>
                      <a:ln>
                        <a:noFill/>
                      </a:ln>
                    </wps:spPr>
                    <wps:txbx>
                      <w:txbxContent>
                        <w:p w14:paraId="5F3DB1BF" w14:textId="5CD8DC8E" w:rsidR="00591587" w:rsidRPr="00591587" w:rsidRDefault="00591587" w:rsidP="00591587">
                          <w:pPr>
                            <w:bidi/>
                            <w:spacing w:after="0"/>
                            <w:rPr>
                              <w:rFonts w:ascii="Calibri" w:eastAsia="Calibri" w:hAnsi="Calibri" w:cs="Arial"/>
                              <w:noProof/>
                              <w:color w:val="808080"/>
                              <w:sz w:val="20"/>
                              <w:szCs w:val="20"/>
                              <w:rtl/>
                            </w:rPr>
                          </w:pPr>
                          <w:r>
                            <w:rPr>
                              <w:rFonts w:ascii="Calibri" w:hAnsi="Calibri" w:cs="Arial"/>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1A5D70" id="_x0000_t202" coordsize="21600,21600" o:spt="202" path="m,l,21600r21600,l21600,xe">
              <v:stroke joinstyle="miter"/>
              <v:path gradientshapeok="t" o:connecttype="rect"/>
            </v:shapetype>
            <v:shape id="Text Box 1" o:spid="_x0000_s1028" type="#_x0000_t202" alt="Public" style="position:absolute;left:0;text-align:left;margin-left:0;margin-top:0;width:24.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" filled="f" stroked="f">
              <v:textbox style="mso-fit-shape-to-text:t" inset="0,15pt,0,0">
                <w:txbxContent>
                  <w:p w14:paraId="5F3DB1BF" w14:textId="5CD8DC8E" w:rsidR="00591587" w:rsidRPr="00591587" w:rsidRDefault="00591587" w:rsidP="00591587">
                    <w:pPr>
                      <w:bidi/>
                      <w:spacing w:after="0"/>
                      <w:rPr>
                        <w:rFonts w:ascii="Calibri" w:eastAsia="Calibri" w:hAnsi="Calibri" w:cs="Arial"/>
                        <w:noProof/>
                        <w:color w:val="808080"/>
                        <w:sz w:val="20"/>
                        <w:szCs w:val="20"/>
                        <w:rtl/>
                      </w:rPr>
                    </w:pPr>
                    <w:r>
                      <w:rPr>
                        <w:rFonts w:ascii="Calibri" w:hAnsi="Calibri" w:cs="Arial"/>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5413"/>
    <w:multiLevelType w:val="multilevel"/>
    <w:tmpl w:val="24F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28754A"/>
    <w:multiLevelType w:val="multilevel"/>
    <w:tmpl w:val="B27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9146DE"/>
    <w:multiLevelType w:val="multilevel"/>
    <w:tmpl w:val="F1A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0624267">
    <w:abstractNumId w:val="0"/>
  </w:num>
  <w:num w:numId="2" w16cid:durableId="787746177">
    <w:abstractNumId w:val="2"/>
  </w:num>
  <w:num w:numId="3" w16cid:durableId="2063555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587"/>
    <w:rsid w:val="00006619"/>
    <w:rsid w:val="00011FA8"/>
    <w:rsid w:val="00031C7E"/>
    <w:rsid w:val="00053865"/>
    <w:rsid w:val="00066742"/>
    <w:rsid w:val="000A37B6"/>
    <w:rsid w:val="000A66D3"/>
    <w:rsid w:val="000E5E8C"/>
    <w:rsid w:val="0010291E"/>
    <w:rsid w:val="001462A9"/>
    <w:rsid w:val="00155DFC"/>
    <w:rsid w:val="00164865"/>
    <w:rsid w:val="00165105"/>
    <w:rsid w:val="00194CA6"/>
    <w:rsid w:val="001E2AAA"/>
    <w:rsid w:val="001E49BA"/>
    <w:rsid w:val="001E7A2F"/>
    <w:rsid w:val="001F05C6"/>
    <w:rsid w:val="001F7951"/>
    <w:rsid w:val="002022D1"/>
    <w:rsid w:val="00223889"/>
    <w:rsid w:val="00225BBA"/>
    <w:rsid w:val="00244BE8"/>
    <w:rsid w:val="00261133"/>
    <w:rsid w:val="002B6D24"/>
    <w:rsid w:val="002E4F51"/>
    <w:rsid w:val="002F39A8"/>
    <w:rsid w:val="00310C23"/>
    <w:rsid w:val="0036284B"/>
    <w:rsid w:val="00386FBE"/>
    <w:rsid w:val="003871FD"/>
    <w:rsid w:val="003C568B"/>
    <w:rsid w:val="003D4B5F"/>
    <w:rsid w:val="003F3168"/>
    <w:rsid w:val="003F6B2E"/>
    <w:rsid w:val="004004F5"/>
    <w:rsid w:val="0043266D"/>
    <w:rsid w:val="0044672D"/>
    <w:rsid w:val="0045588F"/>
    <w:rsid w:val="00485D62"/>
    <w:rsid w:val="0049029F"/>
    <w:rsid w:val="004B2FE9"/>
    <w:rsid w:val="004C3F5D"/>
    <w:rsid w:val="004C63F5"/>
    <w:rsid w:val="004F0ABE"/>
    <w:rsid w:val="0051307B"/>
    <w:rsid w:val="005459D5"/>
    <w:rsid w:val="00565A13"/>
    <w:rsid w:val="005664F2"/>
    <w:rsid w:val="005758D7"/>
    <w:rsid w:val="00591587"/>
    <w:rsid w:val="005C5D24"/>
    <w:rsid w:val="00611261"/>
    <w:rsid w:val="006269CB"/>
    <w:rsid w:val="00673CA6"/>
    <w:rsid w:val="006753BF"/>
    <w:rsid w:val="00680D06"/>
    <w:rsid w:val="00687EAE"/>
    <w:rsid w:val="006D5E32"/>
    <w:rsid w:val="006D5F9B"/>
    <w:rsid w:val="006F04E9"/>
    <w:rsid w:val="00716AE6"/>
    <w:rsid w:val="00717785"/>
    <w:rsid w:val="007B13E0"/>
    <w:rsid w:val="007F25F8"/>
    <w:rsid w:val="00820538"/>
    <w:rsid w:val="008239F5"/>
    <w:rsid w:val="00831CC6"/>
    <w:rsid w:val="008335AB"/>
    <w:rsid w:val="0084788F"/>
    <w:rsid w:val="0085554B"/>
    <w:rsid w:val="00881076"/>
    <w:rsid w:val="008855FB"/>
    <w:rsid w:val="00891F56"/>
    <w:rsid w:val="008B0FF2"/>
    <w:rsid w:val="008D2AD1"/>
    <w:rsid w:val="00936850"/>
    <w:rsid w:val="009409FC"/>
    <w:rsid w:val="00957A5B"/>
    <w:rsid w:val="0096577E"/>
    <w:rsid w:val="00976E61"/>
    <w:rsid w:val="00986525"/>
    <w:rsid w:val="0099539A"/>
    <w:rsid w:val="009A71D2"/>
    <w:rsid w:val="009B3F65"/>
    <w:rsid w:val="009D6FAC"/>
    <w:rsid w:val="009E2B49"/>
    <w:rsid w:val="009E498E"/>
    <w:rsid w:val="00A31AA0"/>
    <w:rsid w:val="00A42EFD"/>
    <w:rsid w:val="00AA0895"/>
    <w:rsid w:val="00AB0515"/>
    <w:rsid w:val="00AB7F15"/>
    <w:rsid w:val="00AF4023"/>
    <w:rsid w:val="00B10C6A"/>
    <w:rsid w:val="00B10D02"/>
    <w:rsid w:val="00B13D88"/>
    <w:rsid w:val="00B44C52"/>
    <w:rsid w:val="00B574B3"/>
    <w:rsid w:val="00B94773"/>
    <w:rsid w:val="00BD00A1"/>
    <w:rsid w:val="00BD398F"/>
    <w:rsid w:val="00BE63CC"/>
    <w:rsid w:val="00C2481D"/>
    <w:rsid w:val="00C24D91"/>
    <w:rsid w:val="00C77A15"/>
    <w:rsid w:val="00C86C93"/>
    <w:rsid w:val="00CA561E"/>
    <w:rsid w:val="00CB7381"/>
    <w:rsid w:val="00CD2759"/>
    <w:rsid w:val="00CF7A6E"/>
    <w:rsid w:val="00D00AF8"/>
    <w:rsid w:val="00D012FE"/>
    <w:rsid w:val="00D13762"/>
    <w:rsid w:val="00D37EEA"/>
    <w:rsid w:val="00D61393"/>
    <w:rsid w:val="00D63196"/>
    <w:rsid w:val="00D73D62"/>
    <w:rsid w:val="00D76A39"/>
    <w:rsid w:val="00D82240"/>
    <w:rsid w:val="00D9434C"/>
    <w:rsid w:val="00DC395A"/>
    <w:rsid w:val="00DC40AA"/>
    <w:rsid w:val="00DC630D"/>
    <w:rsid w:val="00DD1A5C"/>
    <w:rsid w:val="00E0469D"/>
    <w:rsid w:val="00E350EC"/>
    <w:rsid w:val="00E90FB4"/>
    <w:rsid w:val="00EA1472"/>
    <w:rsid w:val="00EB181E"/>
    <w:rsid w:val="00EC0067"/>
    <w:rsid w:val="00EC06B5"/>
    <w:rsid w:val="00EC4B70"/>
    <w:rsid w:val="00F16A28"/>
    <w:rsid w:val="00F3085F"/>
    <w:rsid w:val="00F40409"/>
    <w:rsid w:val="00F63BC6"/>
    <w:rsid w:val="00FB10D0"/>
    <w:rsid w:val="00FB1932"/>
    <w:rsid w:val="00FC591D"/>
    <w:rsid w:val="00FD0A9B"/>
    <w:rsid w:val="00FD3B30"/>
    <w:rsid w:val="00FE4D23"/>
    <w:rsid w:val="00FE611C"/>
    <w:rsid w:val="00FF33ED"/>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742B"/>
  <w15:docId w15:val="{AEE6B514-76CE-41DE-ABC4-059FB9B5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5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5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5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5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5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5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5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5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587"/>
    <w:rPr>
      <w:rFonts w:eastAsiaTheme="majorEastAsia" w:cstheme="majorBidi"/>
      <w:color w:val="272727" w:themeColor="text1" w:themeTint="D8"/>
    </w:rPr>
  </w:style>
  <w:style w:type="paragraph" w:styleId="Title">
    <w:name w:val="Title"/>
    <w:basedOn w:val="Normal"/>
    <w:next w:val="Normal"/>
    <w:link w:val="TitleChar"/>
    <w:uiPriority w:val="10"/>
    <w:qFormat/>
    <w:rsid w:val="00591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587"/>
    <w:pPr>
      <w:spacing w:before="160"/>
      <w:jc w:val="center"/>
    </w:pPr>
    <w:rPr>
      <w:i/>
      <w:iCs/>
      <w:color w:val="404040" w:themeColor="text1" w:themeTint="BF"/>
    </w:rPr>
  </w:style>
  <w:style w:type="character" w:customStyle="1" w:styleId="QuoteChar">
    <w:name w:val="Quote Char"/>
    <w:basedOn w:val="DefaultParagraphFont"/>
    <w:link w:val="Quote"/>
    <w:uiPriority w:val="29"/>
    <w:rsid w:val="00591587"/>
    <w:rPr>
      <w:i/>
      <w:iCs/>
      <w:color w:val="404040" w:themeColor="text1" w:themeTint="BF"/>
    </w:rPr>
  </w:style>
  <w:style w:type="paragraph" w:styleId="ListParagraph">
    <w:name w:val="List Paragraph"/>
    <w:basedOn w:val="Normal"/>
    <w:uiPriority w:val="34"/>
    <w:qFormat/>
    <w:rsid w:val="00591587"/>
    <w:pPr>
      <w:ind w:left="720"/>
      <w:contextualSpacing/>
    </w:pPr>
  </w:style>
  <w:style w:type="character" w:styleId="IntenseEmphasis">
    <w:name w:val="Intense Emphasis"/>
    <w:basedOn w:val="DefaultParagraphFont"/>
    <w:uiPriority w:val="21"/>
    <w:qFormat/>
    <w:rsid w:val="00591587"/>
    <w:rPr>
      <w:i/>
      <w:iCs/>
      <w:color w:val="0F4761" w:themeColor="accent1" w:themeShade="BF"/>
    </w:rPr>
  </w:style>
  <w:style w:type="paragraph" w:styleId="IntenseQuote">
    <w:name w:val="Intense Quote"/>
    <w:basedOn w:val="Normal"/>
    <w:next w:val="Normal"/>
    <w:link w:val="IntenseQuoteChar"/>
    <w:uiPriority w:val="30"/>
    <w:qFormat/>
    <w:rsid w:val="00591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587"/>
    <w:rPr>
      <w:i/>
      <w:iCs/>
      <w:color w:val="0F4761" w:themeColor="accent1" w:themeShade="BF"/>
    </w:rPr>
  </w:style>
  <w:style w:type="character" w:styleId="IntenseReference">
    <w:name w:val="Intense Reference"/>
    <w:basedOn w:val="DefaultParagraphFont"/>
    <w:uiPriority w:val="32"/>
    <w:qFormat/>
    <w:rsid w:val="00591587"/>
    <w:rPr>
      <w:b/>
      <w:bCs/>
      <w:smallCaps/>
      <w:color w:val="0F4761" w:themeColor="accent1" w:themeShade="BF"/>
      <w:spacing w:val="5"/>
    </w:rPr>
  </w:style>
  <w:style w:type="paragraph" w:styleId="Header">
    <w:name w:val="header"/>
    <w:basedOn w:val="Normal"/>
    <w:link w:val="HeaderChar"/>
    <w:uiPriority w:val="99"/>
    <w:unhideWhenUsed/>
    <w:rsid w:val="00591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587"/>
  </w:style>
  <w:style w:type="paragraph" w:customStyle="1" w:styleId="EIB">
    <w:name w:val="EIB"/>
    <w:basedOn w:val="Normal"/>
    <w:link w:val="EIBChar"/>
    <w:autoRedefine/>
    <w:qFormat/>
    <w:rsid w:val="0096577E"/>
    <w:pPr>
      <w:shd w:val="clear" w:color="auto" w:fill="FFFFFF"/>
      <w:spacing w:after="0" w:line="240" w:lineRule="auto"/>
      <w:jc w:val="both"/>
    </w:pPr>
    <w:rPr>
      <w:rFonts w:ascii="Arial" w:eastAsia="Times New Roman" w:hAnsi="Arial" w:cs="Arial"/>
      <w:color w:val="000000"/>
      <w:sz w:val="20"/>
      <w:szCs w:val="21"/>
      <w:lang w:eastAsia="en-GB"/>
    </w:rPr>
  </w:style>
  <w:style w:type="character" w:customStyle="1" w:styleId="EIBChar">
    <w:name w:val="EIB Char"/>
    <w:basedOn w:val="DefaultParagraphFont"/>
    <w:link w:val="EIB"/>
    <w:rsid w:val="0096577E"/>
    <w:rPr>
      <w:rFonts w:ascii="Arial" w:eastAsia="Times New Roman" w:hAnsi="Arial" w:cs="Arial"/>
      <w:color w:val="000000"/>
      <w:sz w:val="20"/>
      <w:szCs w:val="21"/>
      <w:shd w:val="clear" w:color="auto" w:fill="FFFFFF"/>
      <w:lang w:eastAsia="en-GB"/>
    </w:rPr>
  </w:style>
  <w:style w:type="character" w:styleId="Strong">
    <w:name w:val="Strong"/>
    <w:uiPriority w:val="22"/>
    <w:qFormat/>
    <w:rsid w:val="0096577E"/>
    <w:rPr>
      <w:b/>
      <w:bCs/>
    </w:rPr>
  </w:style>
  <w:style w:type="character" w:styleId="Hyperlink">
    <w:name w:val="Hyperlink"/>
    <w:basedOn w:val="DefaultParagraphFont"/>
    <w:uiPriority w:val="99"/>
    <w:unhideWhenUsed/>
    <w:rsid w:val="0096577E"/>
    <w:rPr>
      <w:color w:val="0E2841" w:themeColor="text2"/>
      <w:sz w:val="20"/>
      <w:u w:val="single"/>
    </w:rPr>
  </w:style>
  <w:style w:type="character" w:customStyle="1" w:styleId="ui-iconui-icon-mail-closed">
    <w:name w:val="ui-icon ui-icon-mail-closed"/>
    <w:basedOn w:val="DefaultParagraphFont"/>
    <w:rsid w:val="0096577E"/>
  </w:style>
  <w:style w:type="character" w:customStyle="1" w:styleId="ui-iconui-icon-eib-phone">
    <w:name w:val="ui-icon ui-icon-eib-phone"/>
    <w:basedOn w:val="DefaultParagraphFont"/>
    <w:rsid w:val="0096577E"/>
  </w:style>
  <w:style w:type="character" w:styleId="CommentReference">
    <w:name w:val="annotation reference"/>
    <w:basedOn w:val="DefaultParagraphFont"/>
    <w:uiPriority w:val="99"/>
    <w:semiHidden/>
    <w:unhideWhenUsed/>
    <w:rsid w:val="008855FB"/>
    <w:rPr>
      <w:sz w:val="16"/>
      <w:szCs w:val="16"/>
    </w:rPr>
  </w:style>
  <w:style w:type="paragraph" w:styleId="CommentText">
    <w:name w:val="annotation text"/>
    <w:basedOn w:val="Normal"/>
    <w:link w:val="CommentTextChar"/>
    <w:uiPriority w:val="99"/>
    <w:unhideWhenUsed/>
    <w:rsid w:val="008855FB"/>
    <w:pPr>
      <w:spacing w:line="240" w:lineRule="auto"/>
    </w:pPr>
    <w:rPr>
      <w:sz w:val="20"/>
      <w:szCs w:val="20"/>
    </w:rPr>
  </w:style>
  <w:style w:type="character" w:customStyle="1" w:styleId="CommentTextChar">
    <w:name w:val="Comment Text Char"/>
    <w:basedOn w:val="DefaultParagraphFont"/>
    <w:link w:val="CommentText"/>
    <w:uiPriority w:val="99"/>
    <w:rsid w:val="008855FB"/>
    <w:rPr>
      <w:sz w:val="20"/>
      <w:szCs w:val="20"/>
    </w:rPr>
  </w:style>
  <w:style w:type="paragraph" w:styleId="CommentSubject">
    <w:name w:val="annotation subject"/>
    <w:basedOn w:val="CommentText"/>
    <w:next w:val="CommentText"/>
    <w:link w:val="CommentSubjectChar"/>
    <w:uiPriority w:val="99"/>
    <w:semiHidden/>
    <w:unhideWhenUsed/>
    <w:rsid w:val="008855FB"/>
    <w:rPr>
      <w:b/>
      <w:bCs/>
    </w:rPr>
  </w:style>
  <w:style w:type="character" w:customStyle="1" w:styleId="CommentSubjectChar">
    <w:name w:val="Comment Subject Char"/>
    <w:basedOn w:val="CommentTextChar"/>
    <w:link w:val="CommentSubject"/>
    <w:uiPriority w:val="99"/>
    <w:semiHidden/>
    <w:rsid w:val="008855FB"/>
    <w:rPr>
      <w:b/>
      <w:bCs/>
      <w:sz w:val="20"/>
      <w:szCs w:val="20"/>
    </w:rPr>
  </w:style>
  <w:style w:type="table" w:styleId="TableGrid">
    <w:name w:val="Table Grid"/>
    <w:basedOn w:val="TableNormal"/>
    <w:uiPriority w:val="59"/>
    <w:rsid w:val="002022D1"/>
    <w:pPr>
      <w:spacing w:after="0" w:line="312" w:lineRule="auto"/>
    </w:pPr>
    <w:rPr>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2022D1"/>
    <w:pPr>
      <w:spacing w:before="360" w:after="120" w:line="312" w:lineRule="auto"/>
      <w:jc w:val="right"/>
    </w:pPr>
    <w:rPr>
      <w:rFonts w:ascii="Arial" w:hAnsi="Arial" w:cs="Arial"/>
      <w:b/>
      <w:color w:val="0E2841" w:themeColor="text2"/>
      <w:sz w:val="36"/>
      <w:szCs w:val="36"/>
      <w:lang w:val="en-US"/>
    </w:rPr>
  </w:style>
  <w:style w:type="paragraph" w:styleId="Revision">
    <w:name w:val="Revision"/>
    <w:hidden/>
    <w:uiPriority w:val="99"/>
    <w:semiHidden/>
    <w:rsid w:val="00D00AF8"/>
    <w:pPr>
      <w:spacing w:after="0" w:line="240" w:lineRule="auto"/>
    </w:pPr>
  </w:style>
  <w:style w:type="character" w:customStyle="1" w:styleId="UnresolvedMention1">
    <w:name w:val="Unresolved Mention1"/>
    <w:basedOn w:val="DefaultParagraphFont"/>
    <w:uiPriority w:val="99"/>
    <w:semiHidden/>
    <w:unhideWhenUsed/>
    <w:rsid w:val="00A31AA0"/>
    <w:rPr>
      <w:color w:val="605E5C"/>
      <w:shd w:val="clear" w:color="auto" w:fill="E1DFDD"/>
    </w:rPr>
  </w:style>
  <w:style w:type="paragraph" w:styleId="BalloonText">
    <w:name w:val="Balloon Text"/>
    <w:basedOn w:val="Normal"/>
    <w:link w:val="BalloonTextChar"/>
    <w:uiPriority w:val="99"/>
    <w:semiHidden/>
    <w:unhideWhenUsed/>
    <w:rsid w:val="00485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62"/>
    <w:rPr>
      <w:rFonts w:ascii="Tahoma" w:hAnsi="Tahoma" w:cs="Tahoma"/>
      <w:sz w:val="16"/>
      <w:szCs w:val="16"/>
    </w:rPr>
  </w:style>
  <w:style w:type="paragraph" w:styleId="Footer">
    <w:name w:val="footer"/>
    <w:basedOn w:val="Normal"/>
    <w:link w:val="FooterChar"/>
    <w:uiPriority w:val="99"/>
    <w:unhideWhenUsed/>
    <w:rsid w:val="00485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87761">
      <w:bodyDiv w:val="1"/>
      <w:marLeft w:val="0"/>
      <w:marRight w:val="0"/>
      <w:marTop w:val="0"/>
      <w:marBottom w:val="0"/>
      <w:divBdr>
        <w:top w:val="none" w:sz="0" w:space="0" w:color="auto"/>
        <w:left w:val="none" w:sz="0" w:space="0" w:color="auto"/>
        <w:bottom w:val="none" w:sz="0" w:space="0" w:color="auto"/>
        <w:right w:val="none" w:sz="0" w:space="0" w:color="auto"/>
      </w:divBdr>
    </w:div>
    <w:div w:id="628977784">
      <w:bodyDiv w:val="1"/>
      <w:marLeft w:val="0"/>
      <w:marRight w:val="0"/>
      <w:marTop w:val="0"/>
      <w:marBottom w:val="0"/>
      <w:divBdr>
        <w:top w:val="none" w:sz="0" w:space="0" w:color="auto"/>
        <w:left w:val="none" w:sz="0" w:space="0" w:color="auto"/>
        <w:bottom w:val="none" w:sz="0" w:space="0" w:color="auto"/>
        <w:right w:val="none" w:sz="0" w:space="0" w:color="auto"/>
      </w:divBdr>
    </w:div>
    <w:div w:id="802817856">
      <w:bodyDiv w:val="1"/>
      <w:marLeft w:val="0"/>
      <w:marRight w:val="0"/>
      <w:marTop w:val="0"/>
      <w:marBottom w:val="0"/>
      <w:divBdr>
        <w:top w:val="none" w:sz="0" w:space="0" w:color="auto"/>
        <w:left w:val="none" w:sz="0" w:space="0" w:color="auto"/>
        <w:bottom w:val="none" w:sz="0" w:space="0" w:color="auto"/>
        <w:right w:val="none" w:sz="0" w:space="0" w:color="auto"/>
      </w:divBdr>
    </w:div>
    <w:div w:id="141682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infocentre/contact/offices/index.htm" TargetMode="External"/><Relationship Id="rId18" Type="http://schemas.openxmlformats.org/officeDocument/2006/relationships/hyperlink" Target="https://macro-egy.com/" TargetMode="External"/><Relationship Id="rId26" Type="http://schemas.openxmlformats.org/officeDocument/2006/relationships/hyperlink" Target="http://www.linkedin.com/company/9360" TargetMode="External"/><Relationship Id="rId39" Type="http://schemas.openxmlformats.org/officeDocument/2006/relationships/image" Target="media/image10.gif"/><Relationship Id="rId21" Type="http://schemas.openxmlformats.org/officeDocument/2006/relationships/hyperlink" Target="https://allmedgroup.com/" TargetMode="External"/><Relationship Id="rId34" Type="http://schemas.openxmlformats.org/officeDocument/2006/relationships/hyperlink" Target="https://www.threads.net/@europeaninvestmentbank" TargetMode="External"/><Relationship Id="rId42" Type="http://schemas.openxmlformats.org/officeDocument/2006/relationships/image" Target="media/image11.gif"/><Relationship Id="rId47" Type="http://schemas.openxmlformats.org/officeDocument/2006/relationships/image" Target="media/image13.gif"/><Relationship Id="rId50" Type="http://schemas.openxmlformats.org/officeDocument/2006/relationships/hyperlink" Target="https://uk.linkedin.com/company/alta-semper-capital-llp"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ission.europa.eu/strategy-and-policy/priorities-2019-2024/stronger-europe-world/global-gateway_en" TargetMode="External"/><Relationship Id="rId29" Type="http://schemas.openxmlformats.org/officeDocument/2006/relationships/hyperlink" Target="https://www.instagram.com/europeaninvestmentbank/" TargetMode="External"/><Relationship Id="rId11" Type="http://schemas.openxmlformats.org/officeDocument/2006/relationships/image" Target="media/image4.png"/><Relationship Id="rId24" Type="http://schemas.openxmlformats.org/officeDocument/2006/relationships/hyperlink" Target="http://www.eib.org/press" TargetMode="External"/><Relationship Id="rId32" Type="http://schemas.openxmlformats.org/officeDocument/2006/relationships/hyperlink" Target="https://bsky.app/profile/eib.org" TargetMode="External"/><Relationship Id="rId37" Type="http://schemas.openxmlformats.org/officeDocument/2006/relationships/image" Target="media/image9.gif"/><Relationship Id="rId40" Type="http://schemas.openxmlformats.org/officeDocument/2006/relationships/image" Target="cid:image003.png@01D4A773.FF9D17F0" TargetMode="External"/><Relationship Id="rId45" Type="http://schemas.openxmlformats.org/officeDocument/2006/relationships/image" Target="cid:image005.png@01D4A773.FF9D17F0" TargetMode="External"/><Relationship Id="rId53"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www.odm.m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eib.org/media-centre/photos/our-buildings" TargetMode="External"/><Relationship Id="rId22" Type="http://schemas.openxmlformats.org/officeDocument/2006/relationships/hyperlink" Target="https://eur05.safelinks.protection.outlook.com/?url=http%3A%2F%2Fwww.ifc.org%2F&amp;data=05%7C02%7Ce.possenti%40eib.org%7C00ce432cfa82466183c908de4f781311%7C0b96d5d2d1534370a2c78a926f24c8a1%7C1%7C0%7C639035574296734874%7CUnknown%7CTWFpbGZsb3d8eyJFbXB0eU1hcGkiOnRydWUsIlYiOiIwLjAuMDAwMCIsIlAiOiJXaW4zMiIsIkFOIjoiTWFpbCIsIldUIjoyfQ%3D%3D%7C0%7C%7C%7C&amp;sdata=AUl8zoYamyUt10oUcl6J94Ne8F8IRWKRGTeTDyVy6Dg%3D&amp;reserved=0" TargetMode="External"/><Relationship Id="rId27" Type="http://schemas.openxmlformats.org/officeDocument/2006/relationships/image" Target="media/image5.gif"/><Relationship Id="rId30" Type="http://schemas.openxmlformats.org/officeDocument/2006/relationships/image" Target="media/image6.gif"/><Relationship Id="rId35" Type="http://schemas.openxmlformats.org/officeDocument/2006/relationships/image" Target="media/image8.gif"/><Relationship Id="rId43" Type="http://schemas.openxmlformats.org/officeDocument/2006/relationships/hyperlink" Target="https://www.youtube.com/user/EIBtheEUbank" TargetMode="External"/><Relationship Id="rId48" Type="http://schemas.openxmlformats.org/officeDocument/2006/relationships/image" Target="cid:image006.png@01D4A773.FF9D17F0"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4.gif"/><Relationship Id="rId3" Type="http://schemas.openxmlformats.org/officeDocument/2006/relationships/styles" Target="styles.xml"/><Relationship Id="rId12" Type="http://schemas.openxmlformats.org/officeDocument/2006/relationships/hyperlink" Target="https://www.eib.org/global/index.htm" TargetMode="External"/><Relationship Id="rId17" Type="http://schemas.openxmlformats.org/officeDocument/2006/relationships/hyperlink" Target="https://www.altasemper.com/" TargetMode="External"/><Relationship Id="rId25" Type="http://schemas.openxmlformats.org/officeDocument/2006/relationships/hyperlink" Target="mailto:press@eib.org" TargetMode="External"/><Relationship Id="rId33" Type="http://schemas.openxmlformats.org/officeDocument/2006/relationships/image" Target="media/image7.gif"/><Relationship Id="rId38" Type="http://schemas.openxmlformats.org/officeDocument/2006/relationships/hyperlink" Target="http://www.facebook.com/EuropeanInvestmentBank" TargetMode="External"/><Relationship Id="rId46" Type="http://schemas.openxmlformats.org/officeDocument/2006/relationships/hyperlink" Target="http://www.eib.org/infocentre/rss/index.htm" TargetMode="External"/><Relationship Id="rId20" Type="http://schemas.openxmlformats.org/officeDocument/2006/relationships/hyperlink" Target="http://www.mydawa.com" TargetMode="External"/><Relationship Id="rId41" Type="http://schemas.openxmlformats.org/officeDocument/2006/relationships/hyperlink" Target="https://x.com/EIB"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if.org/index.htm" TargetMode="External"/><Relationship Id="rId23" Type="http://schemas.openxmlformats.org/officeDocument/2006/relationships/hyperlink" Target="mailto:%20e.possenti@eib.org" TargetMode="External"/><Relationship Id="rId28" Type="http://schemas.openxmlformats.org/officeDocument/2006/relationships/image" Target="cid:image007.png@01D4A773.FF9D17F0" TargetMode="External"/><Relationship Id="rId36" Type="http://schemas.openxmlformats.org/officeDocument/2006/relationships/hyperlink" Target="https://whatsapp.com/channel/0029VaAMHR12kNFwddDgU20r" TargetMode="External"/><Relationship Id="rId49" Type="http://schemas.openxmlformats.org/officeDocument/2006/relationships/hyperlink" Target="mailto:info@altasemper.com" TargetMode="External"/><Relationship Id="rId57"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image" Target="cid:image004.png@01D4A773.FF9D17F0" TargetMode="External"/><Relationship Id="rId44" Type="http://schemas.openxmlformats.org/officeDocument/2006/relationships/image" Target="media/image12.gif"/><Relationship Id="rId52" Type="http://schemas.openxmlformats.org/officeDocument/2006/relationships/hyperlink" Target="mailto:Smoussa1@i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Arial"/>
      </a:majorFont>
      <a:minorFont>
        <a:latin typeface="Aptos"/>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9C87-935F-48AB-AD21-CADDDC0B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POSSENTI Enrico</dc:creator>
  <cp:lastModifiedBy>HENRY Nadine</cp:lastModifiedBy>
  <cp:revision>3</cp:revision>
  <cp:lastPrinted>2026-01-11T14:13:00Z</cp:lastPrinted>
  <dcterms:created xsi:type="dcterms:W3CDTF">2026-01-14T08:27:00Z</dcterms:created>
  <dcterms:modified xsi:type="dcterms:W3CDTF">2026-01-14T08:27:00Z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37ac6f27,606d50f2,18e45b07</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2025-10-17T15:01:01Z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d6291a43-ae90-4ba0-92fd-6d5932d07082</vt:lpwstr>
  </property>
  <property fmtid="{D5CDD505-2E9C-101B-9397-08002B2CF9AE}" pid="11" name="MSIP_Label_a2b66c57-0888-49c5-9c42-f8765a044c7f_ContentBits">
    <vt:lpwstr>1</vt:lpwstr>
  </property>
  <property fmtid="{D5CDD505-2E9C-101B-9397-08002B2CF9AE}" pid="12" name="MSIP_Label_a2b66c57-0888-49c5-9c42-f8765a044c7f_Tag">
    <vt:lpwstr>10, 0, 1, 1</vt:lpwstr>
  </property>
</Properties>
</file>