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577"/>
        <w:gridCol w:w="3232"/>
      </w:tblGrid>
      <w:tr w:rsidR="00C85835" w14:paraId="71BE5608" w14:textId="77777777" w:rsidTr="009932FE">
        <w:trPr>
          <w:trHeight w:val="1760"/>
        </w:trPr>
        <w:tc>
          <w:tcPr>
            <w:tcW w:w="3261" w:type="dxa"/>
            <w:vAlign w:val="center"/>
          </w:tcPr>
          <w:p w14:paraId="55147A2B" w14:textId="7BCBA773" w:rsidR="00C85835" w:rsidRPr="00C83468" w:rsidRDefault="00C85835" w:rsidP="001F0672">
            <w:pPr>
              <w:pStyle w:val="Heading1"/>
              <w:spacing w:before="100" w:beforeAutospacing="1" w:after="100" w:afterAutospacing="1" w:line="240" w:lineRule="auto"/>
              <w:jc w:val="both"/>
              <w:rPr>
                <w:sz w:val="24"/>
                <w:szCs w:val="24"/>
              </w:rPr>
            </w:pPr>
            <w:r>
              <w:rPr>
                <w:noProof/>
                <w:sz w:val="24"/>
                <w:szCs w:val="24"/>
              </w:rPr>
              <w:drawing>
                <wp:inline distT="0" distB="0" distL="0" distR="0" wp14:anchorId="302DAC11" wp14:editId="2FCD8DF4">
                  <wp:extent cx="1289050" cy="1241791"/>
                  <wp:effectExtent l="0" t="0" r="0" b="0"/>
                  <wp:docPr id="277468127" name="Picture 1" descr="A logo with a flag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68127" name="Picture 1" descr="A logo with a flag and stars&#10;&#10;AI-generated content may be incorrect."/>
                          <pic:cNvPicPr/>
                        </pic:nvPicPr>
                        <pic:blipFill rotWithShape="1">
                          <a:blip r:embed="rId10" cstate="print">
                            <a:extLst>
                              <a:ext uri="{28A0092B-C50C-407E-A947-70E740481C1C}">
                                <a14:useLocalDpi xmlns:a14="http://schemas.microsoft.com/office/drawing/2010/main" val="0"/>
                              </a:ext>
                            </a:extLst>
                          </a:blip>
                          <a:srcRect l="27370"/>
                          <a:stretch>
                            <a:fillRect/>
                          </a:stretch>
                        </pic:blipFill>
                        <pic:spPr bwMode="auto">
                          <a:xfrm>
                            <a:off x="0" y="0"/>
                            <a:ext cx="1298160" cy="1250567"/>
                          </a:xfrm>
                          <a:prstGeom prst="rect">
                            <a:avLst/>
                          </a:prstGeom>
                          <a:ln>
                            <a:noFill/>
                          </a:ln>
                          <a:extLst>
                            <a:ext uri="{53640926-AAD7-44D8-BBD7-CCE9431645EC}">
                              <a14:shadowObscured xmlns:a14="http://schemas.microsoft.com/office/drawing/2010/main"/>
                            </a:ext>
                          </a:extLst>
                        </pic:spPr>
                      </pic:pic>
                    </a:graphicData>
                  </a:graphic>
                </wp:inline>
              </w:drawing>
            </w:r>
          </w:p>
        </w:tc>
        <w:tc>
          <w:tcPr>
            <w:tcW w:w="2577" w:type="dxa"/>
          </w:tcPr>
          <w:p w14:paraId="0F57D443" w14:textId="7218094B" w:rsidR="00C85835" w:rsidRPr="00670B57" w:rsidRDefault="00C85835" w:rsidP="001F0672">
            <w:pPr>
              <w:pStyle w:val="Header1"/>
              <w:spacing w:before="100" w:beforeAutospacing="1" w:after="100" w:afterAutospacing="1" w:line="240" w:lineRule="auto"/>
              <w:rPr>
                <w:rFonts w:cstheme="minorHAnsi"/>
                <w:caps/>
                <w:noProof/>
              </w:rPr>
            </w:pPr>
            <w:r>
              <w:rPr>
                <w:noProof/>
              </w:rPr>
              <w:drawing>
                <wp:anchor distT="0" distB="0" distL="114300" distR="114300" simplePos="0" relativeHeight="251662336" behindDoc="0" locked="0" layoutInCell="1" allowOverlap="1" wp14:anchorId="45154E1E" wp14:editId="7E0AFB50">
                  <wp:simplePos x="0" y="0"/>
                  <wp:positionH relativeFrom="column">
                    <wp:posOffset>-37465</wp:posOffset>
                  </wp:positionH>
                  <wp:positionV relativeFrom="paragraph">
                    <wp:posOffset>394335</wp:posOffset>
                  </wp:positionV>
                  <wp:extent cx="1630680" cy="391160"/>
                  <wp:effectExtent l="0" t="0" r="7620" b="8890"/>
                  <wp:wrapSquare wrapText="bothSides"/>
                  <wp:docPr id="6452012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0680" cy="3911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32" w:type="dxa"/>
            <w:vAlign w:val="center"/>
          </w:tcPr>
          <w:p w14:paraId="1D917EE8" w14:textId="69BCE987" w:rsidR="00C85835" w:rsidRPr="001C2CE7" w:rsidRDefault="00C85835" w:rsidP="001F0672">
            <w:pPr>
              <w:pStyle w:val="Header1"/>
              <w:spacing w:before="100" w:beforeAutospacing="1" w:after="100" w:afterAutospacing="1" w:line="240" w:lineRule="auto"/>
              <w:rPr>
                <w:rFonts w:cs="Arial"/>
                <w:sz w:val="20"/>
                <w:szCs w:val="20"/>
                <w:lang w:val="en-GB"/>
              </w:rPr>
            </w:pPr>
            <w:r w:rsidRPr="00670B57">
              <w:rPr>
                <w:rFonts w:cstheme="minorHAnsi"/>
                <w:caps/>
                <w:noProof/>
              </w:rPr>
              <w:drawing>
                <wp:anchor distT="0" distB="0" distL="114300" distR="114300" simplePos="0" relativeHeight="251661312" behindDoc="1" locked="0" layoutInCell="1" allowOverlap="1" wp14:anchorId="75A83F3F" wp14:editId="1BE75FAC">
                  <wp:simplePos x="0" y="0"/>
                  <wp:positionH relativeFrom="margin">
                    <wp:posOffset>1503680</wp:posOffset>
                  </wp:positionH>
                  <wp:positionV relativeFrom="paragraph">
                    <wp:posOffset>41275</wp:posOffset>
                  </wp:positionV>
                  <wp:extent cx="1835150" cy="647700"/>
                  <wp:effectExtent l="0" t="0" r="0" b="0"/>
                  <wp:wrapSquare wrapText="bothSides"/>
                  <wp:docPr id="445703717" name="Picture 4457037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5150" cy="647700"/>
                          </a:xfrm>
                          <a:prstGeom prst="rect">
                            <a:avLst/>
                          </a:prstGeom>
                        </pic:spPr>
                      </pic:pic>
                    </a:graphicData>
                  </a:graphic>
                  <wp14:sizeRelH relativeFrom="page">
                    <wp14:pctWidth>0</wp14:pctWidth>
                  </wp14:sizeRelH>
                  <wp14:sizeRelV relativeFrom="page">
                    <wp14:pctHeight>0</wp14:pctHeight>
                  </wp14:sizeRelV>
                </wp:anchor>
              </w:drawing>
            </w:r>
          </w:p>
        </w:tc>
      </w:tr>
    </w:tbl>
    <w:p w14:paraId="5A915D41" w14:textId="011EB406" w:rsidR="003D1D03" w:rsidRPr="001F0672" w:rsidRDefault="003D1D03" w:rsidP="001F0672">
      <w:pPr>
        <w:pStyle w:val="Header1"/>
        <w:spacing w:before="100" w:beforeAutospacing="1" w:after="100" w:afterAutospacing="1" w:line="240" w:lineRule="auto"/>
        <w:jc w:val="left"/>
        <w:rPr>
          <w:color w:val="auto"/>
          <w:sz w:val="24"/>
          <w:szCs w:val="24"/>
          <w:lang w:val="es-ES"/>
        </w:rPr>
      </w:pPr>
      <w:r w:rsidRPr="001F0672">
        <w:rPr>
          <w:color w:val="auto"/>
          <w:sz w:val="24"/>
          <w:szCs w:val="24"/>
          <w:lang w:val="es-ES"/>
        </w:rPr>
        <w:t>PRESS RELEASE</w:t>
      </w:r>
      <w:r w:rsidR="001F0672">
        <w:rPr>
          <w:color w:val="auto"/>
          <w:sz w:val="24"/>
          <w:szCs w:val="24"/>
          <w:lang w:val="es-ES"/>
        </w:rPr>
        <w:br/>
      </w:r>
      <w:r w:rsidRPr="001F0672">
        <w:rPr>
          <w:b w:val="0"/>
          <w:bCs/>
          <w:color w:val="auto"/>
          <w:sz w:val="20"/>
          <w:szCs w:val="20"/>
          <w:lang w:val="es-ES"/>
        </w:rPr>
        <w:t>202</w:t>
      </w:r>
      <w:r w:rsidR="001F0672">
        <w:rPr>
          <w:b w:val="0"/>
          <w:bCs/>
          <w:color w:val="auto"/>
          <w:sz w:val="20"/>
          <w:szCs w:val="20"/>
          <w:lang w:val="es-ES"/>
        </w:rPr>
        <w:t>5</w:t>
      </w:r>
      <w:r w:rsidRPr="001F0672">
        <w:rPr>
          <w:b w:val="0"/>
          <w:bCs/>
          <w:color w:val="auto"/>
          <w:sz w:val="20"/>
          <w:szCs w:val="20"/>
          <w:lang w:val="es-ES"/>
        </w:rPr>
        <w:t>-</w:t>
      </w:r>
      <w:r w:rsidR="001F0672">
        <w:rPr>
          <w:b w:val="0"/>
          <w:bCs/>
          <w:color w:val="auto"/>
          <w:sz w:val="20"/>
          <w:szCs w:val="20"/>
          <w:lang w:val="es-ES"/>
        </w:rPr>
        <w:t>428</w:t>
      </w:r>
      <w:r w:rsidRPr="001F0672">
        <w:rPr>
          <w:b w:val="0"/>
          <w:bCs/>
          <w:color w:val="auto"/>
          <w:sz w:val="20"/>
          <w:szCs w:val="20"/>
          <w:lang w:val="es-ES"/>
        </w:rPr>
        <w:t>-E</w:t>
      </w:r>
      <w:r w:rsidR="001F0672">
        <w:rPr>
          <w:b w:val="0"/>
          <w:bCs/>
          <w:color w:val="auto"/>
          <w:sz w:val="20"/>
          <w:szCs w:val="20"/>
          <w:lang w:val="es-ES"/>
        </w:rPr>
        <w:t>N</w:t>
      </w:r>
    </w:p>
    <w:p w14:paraId="579D8590" w14:textId="115DF7FF" w:rsidR="00493462" w:rsidRPr="001F0672" w:rsidRDefault="0048492A" w:rsidP="001F0672">
      <w:pPr>
        <w:pStyle w:val="EIBtitle0"/>
        <w:spacing w:before="100" w:beforeAutospacing="1" w:after="100" w:afterAutospacing="1"/>
        <w:rPr>
          <w:szCs w:val="22"/>
          <w:lang w:val="es-ES"/>
        </w:rPr>
      </w:pPr>
      <w:r w:rsidRPr="009932FE">
        <w:rPr>
          <w:b w:val="0"/>
          <w:sz w:val="20"/>
          <w:lang w:val="es-ES"/>
        </w:rPr>
        <w:t>Madrid</w:t>
      </w:r>
      <w:r w:rsidR="00BC7F1F" w:rsidRPr="009932FE">
        <w:rPr>
          <w:b w:val="0"/>
          <w:sz w:val="20"/>
          <w:lang w:val="es-ES"/>
        </w:rPr>
        <w:t xml:space="preserve"> </w:t>
      </w:r>
      <w:r w:rsidR="00EA0474" w:rsidRPr="009932FE">
        <w:rPr>
          <w:b w:val="0"/>
          <w:sz w:val="20"/>
          <w:lang w:val="es-ES"/>
        </w:rPr>
        <w:t>Nov 3</w:t>
      </w:r>
      <w:r w:rsidR="00BC7F1F" w:rsidRPr="009932FE">
        <w:rPr>
          <w:b w:val="0"/>
          <w:sz w:val="20"/>
          <w:lang w:val="es-ES"/>
        </w:rPr>
        <w:t>, 2025</w:t>
      </w:r>
      <w:r w:rsidR="003D1D03" w:rsidRPr="009932FE">
        <w:rPr>
          <w:szCs w:val="22"/>
          <w:lang w:val="es-ES"/>
        </w:rPr>
        <w:t xml:space="preserve"> </w:t>
      </w:r>
    </w:p>
    <w:p w14:paraId="1D420413" w14:textId="5CFFA244" w:rsidR="00372499" w:rsidRPr="00493462" w:rsidRDefault="00FE5A90" w:rsidP="001F0672">
      <w:pPr>
        <w:pStyle w:val="EIBtitle0"/>
        <w:spacing w:before="100" w:beforeAutospacing="1" w:after="100" w:afterAutospacing="1"/>
        <w:jc w:val="center"/>
        <w:rPr>
          <w:szCs w:val="22"/>
          <w:lang w:val="en-GB"/>
        </w:rPr>
      </w:pPr>
      <w:r w:rsidRPr="00FE5A90">
        <w:rPr>
          <w:szCs w:val="22"/>
          <w:lang w:val="en-GB"/>
        </w:rPr>
        <w:t xml:space="preserve">EIB and Iberdrola sign a €500 million green loan for the Windanker offshore wind farm in </w:t>
      </w:r>
      <w:r w:rsidR="00373265">
        <w:rPr>
          <w:szCs w:val="22"/>
          <w:lang w:val="en-GB"/>
        </w:rPr>
        <w:t>German Baltic Sea</w:t>
      </w:r>
    </w:p>
    <w:p w14:paraId="1F02AE9D" w14:textId="39D570C4" w:rsidR="005343A0" w:rsidRDefault="00CC16C5" w:rsidP="001F0672">
      <w:pPr>
        <w:pStyle w:val="EIBbullets"/>
        <w:numPr>
          <w:ilvl w:val="0"/>
          <w:numId w:val="4"/>
        </w:numPr>
        <w:spacing w:before="100" w:beforeAutospacing="1" w:after="100" w:afterAutospacing="1"/>
        <w:ind w:left="714" w:hanging="357"/>
      </w:pPr>
      <w:r>
        <w:t xml:space="preserve">Benefits from guarantee </w:t>
      </w:r>
      <w:r w:rsidR="00C57EE0">
        <w:t xml:space="preserve">to support </w:t>
      </w:r>
      <w:r w:rsidR="00310771">
        <w:t xml:space="preserve">green projects </w:t>
      </w:r>
      <w:r>
        <w:t xml:space="preserve">provided by </w:t>
      </w:r>
      <w:r w:rsidR="00310771">
        <w:t xml:space="preserve">Cesce, </w:t>
      </w:r>
      <w:r>
        <w:t>Spanish export credit agency.</w:t>
      </w:r>
    </w:p>
    <w:p w14:paraId="11FD6C1F" w14:textId="11EFCB6C" w:rsidR="009505CD" w:rsidRDefault="00493462" w:rsidP="001F0672">
      <w:pPr>
        <w:pStyle w:val="EIBbullets"/>
        <w:numPr>
          <w:ilvl w:val="0"/>
          <w:numId w:val="4"/>
        </w:numPr>
        <w:spacing w:before="100" w:beforeAutospacing="1" w:after="100" w:afterAutospacing="1"/>
        <w:ind w:left="714" w:hanging="357"/>
      </w:pPr>
      <w:r>
        <w:t xml:space="preserve">Windanker offshore wind </w:t>
      </w:r>
      <w:r w:rsidR="00613674">
        <w:t>farm</w:t>
      </w:r>
      <w:r w:rsidR="00990E12">
        <w:t xml:space="preserve"> will</w:t>
      </w:r>
      <w:r w:rsidR="00613674">
        <w:t xml:space="preserve"> boost</w:t>
      </w:r>
      <w:r w:rsidR="00510AD3">
        <w:t xml:space="preserve"> </w:t>
      </w:r>
      <w:r w:rsidR="009505CD" w:rsidRPr="009505CD">
        <w:t xml:space="preserve">clean energy, energy security and </w:t>
      </w:r>
      <w:r w:rsidR="00613674">
        <w:t>jobs</w:t>
      </w:r>
      <w:r w:rsidR="009505CD" w:rsidRPr="009505CD">
        <w:t>, supplying renewable electricity to around 600,000 people per year, according to Iberdrola's estimates.</w:t>
      </w:r>
    </w:p>
    <w:p w14:paraId="72F3C32E" w14:textId="13FDB4C1" w:rsidR="00493462" w:rsidRDefault="00372499" w:rsidP="001F0672">
      <w:pPr>
        <w:pStyle w:val="EIBbullets"/>
        <w:spacing w:before="100" w:beforeAutospacing="1" w:after="100" w:afterAutospacing="1"/>
        <w:ind w:left="714" w:hanging="357"/>
      </w:pPr>
      <w:r>
        <w:t>Project contributes to EIB Group</w:t>
      </w:r>
      <w:r w:rsidR="00952BD2">
        <w:t>’</w:t>
      </w:r>
      <w:r>
        <w:t>s TechEU initiative to accelerate EU innovation, supports climate action goals and the REPowerEU plan to reduce dependence on fossil fuel imports.</w:t>
      </w:r>
    </w:p>
    <w:p w14:paraId="18ACE052" w14:textId="070C1919" w:rsidR="005D2B84" w:rsidRDefault="00493462" w:rsidP="001F0672">
      <w:pPr>
        <w:pStyle w:val="EIB"/>
        <w:spacing w:before="100" w:beforeAutospacing="1" w:after="100" w:afterAutospacing="1"/>
      </w:pPr>
      <w:r>
        <w:t xml:space="preserve">The European Investment Bank (EIB) </w:t>
      </w:r>
      <w:r w:rsidR="00DB3126">
        <w:t xml:space="preserve">has </w:t>
      </w:r>
      <w:r w:rsidR="00C45DE6">
        <w:t xml:space="preserve">signed a </w:t>
      </w:r>
      <w:r w:rsidR="00BC7F1F">
        <w:t>€</w:t>
      </w:r>
      <w:r>
        <w:t xml:space="preserve">500 million </w:t>
      </w:r>
      <w:r w:rsidR="00AA0C6B">
        <w:t xml:space="preserve">green </w:t>
      </w:r>
      <w:r w:rsidR="00C45DE6">
        <w:t>loan</w:t>
      </w:r>
      <w:r>
        <w:t xml:space="preserve"> to Iberdrola </w:t>
      </w:r>
      <w:r w:rsidR="00CD0073">
        <w:t>for</w:t>
      </w:r>
      <w:r>
        <w:t xml:space="preserve"> </w:t>
      </w:r>
      <w:r w:rsidR="007F58F0">
        <w:t>the</w:t>
      </w:r>
      <w:r w:rsidR="00F167C8">
        <w:t xml:space="preserve"> </w:t>
      </w:r>
      <w:r>
        <w:t xml:space="preserve">Windanker offshore wind farm, a flagship clean energy project currently under construction in the German Baltic Sea. </w:t>
      </w:r>
    </w:p>
    <w:p w14:paraId="7139E307" w14:textId="762B9B69" w:rsidR="005D2B84" w:rsidRDefault="005D2B84" w:rsidP="001F0672">
      <w:pPr>
        <w:pStyle w:val="EIB"/>
        <w:spacing w:before="100" w:beforeAutospacing="1" w:after="100" w:afterAutospacing="1"/>
      </w:pPr>
      <w:r w:rsidRPr="001D574D">
        <w:rPr>
          <w:lang w:val="en-US"/>
        </w:rPr>
        <w:t>The financing is guaranteed by the Spanish export credit agency, Cesce</w:t>
      </w:r>
      <w:r>
        <w:rPr>
          <w:lang w:val="en-US"/>
        </w:rPr>
        <w:t xml:space="preserve">. </w:t>
      </w:r>
      <w:r w:rsidRPr="008710A2">
        <w:t xml:space="preserve">This transaction </w:t>
      </w:r>
      <w:r w:rsidR="0032316E">
        <w:t xml:space="preserve">with Iberdrola </w:t>
      </w:r>
      <w:r w:rsidRPr="008710A2">
        <w:t>marks the inaugural use of a</w:t>
      </w:r>
      <w:r>
        <w:t xml:space="preserve"> </w:t>
      </w:r>
      <w:r w:rsidRPr="008710A2">
        <w:t>guarantee developed by the EIB and C</w:t>
      </w:r>
      <w:r>
        <w:t>esce, to support green projects</w:t>
      </w:r>
      <w:r w:rsidR="004E3971">
        <w:t xml:space="preserve"> </w:t>
      </w:r>
      <w:r w:rsidR="004E3971" w:rsidRPr="004E3971">
        <w:t>led by Spanish companies outside Spain, contributing to the European Union's climate action and environmental sustainability objectives.</w:t>
      </w:r>
    </w:p>
    <w:p w14:paraId="67BE9DB4" w14:textId="01F6085B" w:rsidR="00493462" w:rsidRDefault="005D2B84" w:rsidP="001F0672">
      <w:pPr>
        <w:pStyle w:val="EIB"/>
        <w:spacing w:before="100" w:beforeAutospacing="1" w:after="100" w:afterAutospacing="1"/>
      </w:pPr>
      <w:r>
        <w:t>The new project will generate clean energy for thousands of homes, accelerate Europe’s electrification and energy security</w:t>
      </w:r>
      <w:r w:rsidDel="00E022F2">
        <w:t>,</w:t>
      </w:r>
      <w:r>
        <w:t xml:space="preserve"> driving new employment, economic opportunity, and state-of-the-art renewable energy innovation.</w:t>
      </w:r>
    </w:p>
    <w:p w14:paraId="760BB999" w14:textId="56AB2C40" w:rsidR="00493462" w:rsidRPr="007E1B3C" w:rsidRDefault="00493462" w:rsidP="001F0672">
      <w:pPr>
        <w:pStyle w:val="EIB"/>
        <w:spacing w:before="100" w:beforeAutospacing="1" w:after="100" w:afterAutospacing="1"/>
      </w:pPr>
      <w:bookmarkStart w:id="0" w:name="_Hlk211953311"/>
      <w:r>
        <w:t>Windanker will contribute 315 MW of offshore wind capacity—enough to supply</w:t>
      </w:r>
      <w:r w:rsidR="00FF3CDA">
        <w:t xml:space="preserve"> renewable electricity </w:t>
      </w:r>
      <w:r w:rsidR="00FF3CDA" w:rsidRPr="00BC7F1F">
        <w:t xml:space="preserve">to </w:t>
      </w:r>
      <w:r w:rsidR="00FF3CDA">
        <w:t xml:space="preserve">600,000 people every year according to </w:t>
      </w:r>
      <w:r w:rsidR="0083708B">
        <w:t>Iberdrola</w:t>
      </w:r>
      <w:r w:rsidR="00FF3CDA">
        <w:t xml:space="preserve"> estimates</w:t>
      </w:r>
      <w:r>
        <w:t xml:space="preserve">. </w:t>
      </w:r>
      <w:bookmarkEnd w:id="0"/>
    </w:p>
    <w:p w14:paraId="27FEC3E9" w14:textId="7FCD7EFF" w:rsidR="00493462" w:rsidRPr="001F0672" w:rsidRDefault="00193714" w:rsidP="001F0672">
      <w:pPr>
        <w:pStyle w:val="EIB"/>
        <w:spacing w:before="100" w:beforeAutospacing="1" w:after="100" w:afterAutospacing="1"/>
        <w:rPr>
          <w:b/>
          <w:bCs/>
        </w:rPr>
      </w:pPr>
      <w:r w:rsidRPr="000509CA">
        <w:t xml:space="preserve">"EIB’s €500 million financing for Windanker helps bring cutting-edge wind power technology to the Baltic Sea for the benefit of German consumers and local economies. The green electricity generated by the project will also take us closer towards securing Europe’s independence from fossil fuel imports,” said </w:t>
      </w:r>
      <w:r w:rsidR="00F429DE" w:rsidRPr="000509CA">
        <w:rPr>
          <w:b/>
          <w:bCs/>
        </w:rPr>
        <w:t>EIB Director General of Financing and Advisory Operations within the European Union Jean-Christophe Laloux</w:t>
      </w:r>
      <w:r w:rsidR="00FB5073">
        <w:rPr>
          <w:b/>
          <w:bCs/>
        </w:rPr>
        <w:t>.</w:t>
      </w:r>
    </w:p>
    <w:p w14:paraId="1DAB85B8" w14:textId="098DF520" w:rsidR="00FD21A2" w:rsidRDefault="00493462" w:rsidP="001F0672">
      <w:pPr>
        <w:pStyle w:val="EIB"/>
        <w:spacing w:before="100" w:beforeAutospacing="1" w:after="100" w:afterAutospacing="1"/>
      </w:pPr>
      <w:r>
        <w:t>"</w:t>
      </w:r>
      <w:r w:rsidR="004A0CE3" w:rsidRPr="004A0CE3">
        <w:t xml:space="preserve">With this loan, Iberdrola not only strengthens its financial structure and diversifies its sources of </w:t>
      </w:r>
      <w:r w:rsidR="00CE65B2" w:rsidRPr="004A0CE3">
        <w:t>financing but</w:t>
      </w:r>
      <w:r w:rsidR="004A0CE3" w:rsidRPr="004A0CE3">
        <w:t xml:space="preserve"> also consolidates the confidence of leading institutions such as the EIB and Cesce in our ability to deliver. This backing allows us to continue promoting projects such as Windanker, which is key to electrification, in line with our new transformation plan</w:t>
      </w:r>
      <w:r w:rsidR="00233F7D">
        <w:t>,</w:t>
      </w:r>
      <w:r w:rsidR="00E97CFC">
        <w:t>”</w:t>
      </w:r>
      <w:r w:rsidR="00233F7D">
        <w:t xml:space="preserve"> </w:t>
      </w:r>
      <w:r>
        <w:t xml:space="preserve">said </w:t>
      </w:r>
      <w:r w:rsidR="0048492A" w:rsidRPr="00976E28">
        <w:rPr>
          <w:b/>
          <w:bCs/>
        </w:rPr>
        <w:t xml:space="preserve">José Sainz Armada </w:t>
      </w:r>
      <w:r w:rsidR="0048492A" w:rsidRPr="0048492A">
        <w:rPr>
          <w:b/>
          <w:bCs/>
          <w:lang w:val="en-US"/>
        </w:rPr>
        <w:t>Iberdrola's Chief Finance, Control and Corporate Development Officer</w:t>
      </w:r>
      <w:r w:rsidR="0048492A">
        <w:rPr>
          <w:b/>
          <w:bCs/>
        </w:rPr>
        <w:t>.</w:t>
      </w:r>
    </w:p>
    <w:p w14:paraId="075EFE87" w14:textId="7CD6FB6A" w:rsidR="00FD7373" w:rsidRDefault="00FE4FA8" w:rsidP="001F0672">
      <w:pPr>
        <w:pStyle w:val="EIB"/>
        <w:spacing w:before="100" w:beforeAutospacing="1" w:after="100" w:afterAutospacing="1"/>
      </w:pPr>
      <w:r>
        <w:rPr>
          <w:b/>
          <w:bCs/>
        </w:rPr>
        <w:t xml:space="preserve">Beatriz Reguero, </w:t>
      </w:r>
      <w:r w:rsidR="0068346C">
        <w:rPr>
          <w:b/>
          <w:bCs/>
        </w:rPr>
        <w:t xml:space="preserve">area director for State Accounts at </w:t>
      </w:r>
      <w:r w:rsidR="006C32DC" w:rsidRPr="00976E28">
        <w:rPr>
          <w:b/>
          <w:bCs/>
        </w:rPr>
        <w:t>C</w:t>
      </w:r>
      <w:r w:rsidR="006C32DC">
        <w:rPr>
          <w:b/>
          <w:bCs/>
        </w:rPr>
        <w:t>esce</w:t>
      </w:r>
      <w:r w:rsidR="00FD21A2" w:rsidRPr="005B6C67">
        <w:rPr>
          <w:i/>
          <w:iCs/>
        </w:rPr>
        <w:t>,</w:t>
      </w:r>
      <w:r w:rsidR="001C3552">
        <w:t xml:space="preserve"> </w:t>
      </w:r>
      <w:r w:rsidR="00FD21A2" w:rsidRPr="00FD21A2">
        <w:t xml:space="preserve">said </w:t>
      </w:r>
      <w:r w:rsidR="00FD21A2">
        <w:t>“</w:t>
      </w:r>
      <w:r w:rsidR="006C32DC" w:rsidRPr="00FD21A2">
        <w:t>C</w:t>
      </w:r>
      <w:r w:rsidR="006C32DC">
        <w:t>esce</w:t>
      </w:r>
      <w:r w:rsidR="006C32DC" w:rsidRPr="00FD21A2">
        <w:t xml:space="preserve"> </w:t>
      </w:r>
      <w:r w:rsidR="00FD21A2" w:rsidRPr="00FD21A2">
        <w:t xml:space="preserve">is proud to support Spain’s leading companies as they drive the energy transition across Europe. The Windanker offshore wind farm demonstrates how long-term partnerships with </w:t>
      </w:r>
      <w:r w:rsidR="009E0C56">
        <w:t xml:space="preserve">public </w:t>
      </w:r>
      <w:r w:rsidR="00FD21A2" w:rsidRPr="00FD21A2">
        <w:t xml:space="preserve">institutions like the European Investment Bank </w:t>
      </w:r>
      <w:r w:rsidR="009E0C56">
        <w:t xml:space="preserve">and Cesce </w:t>
      </w:r>
      <w:r w:rsidR="00AF0E51" w:rsidRPr="00AF0E51">
        <w:t>can expand the capacity to support and back projects by Spanish companies that promote innovation and sustainable investment in projects that benefit local communities, strengthen economic growth and promote renewable energy for the future.</w:t>
      </w:r>
      <w:r w:rsidR="00FD7373">
        <w:t>”</w:t>
      </w:r>
    </w:p>
    <w:p w14:paraId="0FA14064" w14:textId="5491C59A" w:rsidR="00372499" w:rsidRPr="0002699A" w:rsidRDefault="00372499" w:rsidP="001F0672">
      <w:pPr>
        <w:spacing w:before="100" w:beforeAutospacing="1" w:after="100" w:afterAutospacing="1" w:line="240" w:lineRule="auto"/>
        <w:jc w:val="both"/>
      </w:pPr>
      <w:r>
        <w:rPr>
          <w:rFonts w:cs="Arial"/>
          <w:szCs w:val="20"/>
        </w:rPr>
        <w:lastRenderedPageBreak/>
        <w:t xml:space="preserve">The project is part of </w:t>
      </w:r>
      <w:hyperlink r:id="rId13" w:history="1">
        <w:r w:rsidRPr="003C2B8E">
          <w:rPr>
            <w:rStyle w:val="Hyperlink"/>
            <w:rFonts w:cs="Arial"/>
            <w:szCs w:val="20"/>
          </w:rPr>
          <w:t>TechEU</w:t>
        </w:r>
      </w:hyperlink>
      <w:r>
        <w:rPr>
          <w:rFonts w:cs="Arial"/>
          <w:szCs w:val="20"/>
        </w:rPr>
        <w:t xml:space="preserve"> the E</w:t>
      </w:r>
      <w:r>
        <w:t>IB Group’s programme to accelerate EU innovation which aims to mobilise €250 billion in investments by 2027 for startups, scale-ups and innovative companies across Europe. Specifically, the project will contribute to the cleantech line of action of TechEU</w:t>
      </w:r>
      <w:r w:rsidR="0002699A">
        <w:t>.</w:t>
      </w:r>
    </w:p>
    <w:p w14:paraId="76D4D91B" w14:textId="3BE22AD3" w:rsidR="00372499" w:rsidRDefault="0002699A" w:rsidP="001F0672">
      <w:pPr>
        <w:pStyle w:val="EIBBackgroundContacts"/>
        <w:spacing w:before="100" w:beforeAutospacing="1" w:after="100" w:afterAutospacing="1"/>
        <w:rPr>
          <w:b w:val="0"/>
          <w:bCs/>
          <w:sz w:val="20"/>
          <w:szCs w:val="20"/>
        </w:rPr>
      </w:pPr>
      <w:r w:rsidRPr="007E40C1">
        <w:rPr>
          <w:b w:val="0"/>
          <w:bCs/>
          <w:sz w:val="20"/>
          <w:szCs w:val="20"/>
        </w:rPr>
        <w:t>By increasing the share of clean energy in Germany’s grid, the project directly supports European and national goals to reduce carbon emissions, cut reliance on fossil fuels, and meet ambitious climate targets.</w:t>
      </w:r>
      <w:r w:rsidRPr="0002699A">
        <w:rPr>
          <w:b w:val="0"/>
          <w:bCs/>
          <w:sz w:val="20"/>
          <w:szCs w:val="20"/>
        </w:rPr>
        <w:t xml:space="preserve"> </w:t>
      </w:r>
      <w:r w:rsidRPr="00372499">
        <w:rPr>
          <w:b w:val="0"/>
          <w:bCs/>
          <w:sz w:val="20"/>
          <w:szCs w:val="20"/>
        </w:rPr>
        <w:t>The</w:t>
      </w:r>
      <w:r>
        <w:rPr>
          <w:b w:val="0"/>
          <w:bCs/>
          <w:sz w:val="20"/>
          <w:szCs w:val="20"/>
        </w:rPr>
        <w:t xml:space="preserve">reby the </w:t>
      </w:r>
      <w:r w:rsidRPr="00372499">
        <w:rPr>
          <w:b w:val="0"/>
          <w:bCs/>
          <w:sz w:val="20"/>
          <w:szCs w:val="20"/>
        </w:rPr>
        <w:t xml:space="preserve">project </w:t>
      </w:r>
      <w:r>
        <w:rPr>
          <w:b w:val="0"/>
          <w:bCs/>
          <w:sz w:val="20"/>
          <w:szCs w:val="20"/>
        </w:rPr>
        <w:t xml:space="preserve">is a strong contributor to </w:t>
      </w:r>
      <w:r w:rsidRPr="00372499">
        <w:rPr>
          <w:b w:val="0"/>
          <w:bCs/>
          <w:sz w:val="20"/>
          <w:szCs w:val="20"/>
        </w:rPr>
        <w:t>EIB</w:t>
      </w:r>
      <w:r>
        <w:rPr>
          <w:b w:val="0"/>
          <w:bCs/>
          <w:sz w:val="20"/>
          <w:szCs w:val="20"/>
        </w:rPr>
        <w:t xml:space="preserve"> Group</w:t>
      </w:r>
      <w:r w:rsidRPr="00372499">
        <w:rPr>
          <w:b w:val="0"/>
          <w:bCs/>
          <w:sz w:val="20"/>
          <w:szCs w:val="20"/>
        </w:rPr>
        <w:t>’s climate action</w:t>
      </w:r>
      <w:r>
        <w:rPr>
          <w:b w:val="0"/>
          <w:bCs/>
          <w:sz w:val="20"/>
          <w:szCs w:val="20"/>
        </w:rPr>
        <w:t xml:space="preserve"> objectives set out in the </w:t>
      </w:r>
      <w:r w:rsidRPr="00372499">
        <w:rPr>
          <w:b w:val="0"/>
          <w:bCs/>
          <w:sz w:val="20"/>
          <w:szCs w:val="20"/>
        </w:rPr>
        <w:t xml:space="preserve">Group’s </w:t>
      </w:r>
      <w:hyperlink r:id="rId14">
        <w:r w:rsidRPr="00372499">
          <w:rPr>
            <w:rStyle w:val="Hyperlink"/>
            <w:b w:val="0"/>
            <w:bCs/>
            <w:szCs w:val="20"/>
          </w:rPr>
          <w:t>Strategic Roadmap</w:t>
        </w:r>
      </w:hyperlink>
      <w:r w:rsidRPr="00372499">
        <w:rPr>
          <w:b w:val="0"/>
          <w:bCs/>
          <w:sz w:val="20"/>
          <w:szCs w:val="20"/>
        </w:rPr>
        <w:t xml:space="preserve"> for 2024-2027</w:t>
      </w:r>
      <w:r>
        <w:rPr>
          <w:b w:val="0"/>
          <w:bCs/>
          <w:sz w:val="20"/>
          <w:szCs w:val="20"/>
        </w:rPr>
        <w:t xml:space="preserve"> and the </w:t>
      </w:r>
      <w:hyperlink r:id="rId15" w:history="1">
        <w:r w:rsidRPr="00FC3296">
          <w:rPr>
            <w:rStyle w:val="Hyperlink"/>
            <w:b w:val="0"/>
            <w:bCs/>
            <w:szCs w:val="20"/>
            <w:lang w:val="en-US"/>
          </w:rPr>
          <w:t>Climate Bank Roadmap</w:t>
        </w:r>
        <w:r w:rsidR="00FC3296" w:rsidRPr="00FC3296">
          <w:rPr>
            <w:rStyle w:val="Hyperlink"/>
            <w:b w:val="0"/>
            <w:bCs/>
            <w:szCs w:val="20"/>
            <w:lang w:val="en-US"/>
          </w:rPr>
          <w:t xml:space="preserve"> Phase 2</w:t>
        </w:r>
      </w:hyperlink>
      <w:r w:rsidR="00FC3296">
        <w:rPr>
          <w:b w:val="0"/>
          <w:bCs/>
          <w:sz w:val="20"/>
          <w:szCs w:val="20"/>
          <w:lang w:val="en-US"/>
        </w:rPr>
        <w:t xml:space="preserve"> </w:t>
      </w:r>
      <w:r w:rsidRPr="0002699A">
        <w:rPr>
          <w:b w:val="0"/>
          <w:bCs/>
          <w:sz w:val="20"/>
          <w:szCs w:val="20"/>
          <w:lang w:val="en-US"/>
        </w:rPr>
        <w:t>for 2026-2030</w:t>
      </w:r>
      <w:r w:rsidR="00FC3296">
        <w:rPr>
          <w:b w:val="0"/>
          <w:bCs/>
          <w:sz w:val="20"/>
          <w:szCs w:val="20"/>
          <w:lang w:val="en-US"/>
        </w:rPr>
        <w:t xml:space="preserve"> as well as the </w:t>
      </w:r>
      <w:hyperlink r:id="rId16" w:history="1">
        <w:r w:rsidR="00372499" w:rsidRPr="00372499">
          <w:rPr>
            <w:rStyle w:val="Hyperlink"/>
            <w:b w:val="0"/>
            <w:bCs/>
            <w:szCs w:val="20"/>
          </w:rPr>
          <w:t>EIB action plan</w:t>
        </w:r>
      </w:hyperlink>
      <w:r w:rsidR="00372499" w:rsidRPr="00372499">
        <w:rPr>
          <w:b w:val="0"/>
          <w:bCs/>
          <w:sz w:val="20"/>
          <w:szCs w:val="20"/>
        </w:rPr>
        <w:t xml:space="preserve"> to support </w:t>
      </w:r>
      <w:hyperlink r:id="rId17" w:history="1">
        <w:r w:rsidR="00372499" w:rsidRPr="00372499">
          <w:rPr>
            <w:rStyle w:val="Hyperlink"/>
            <w:b w:val="0"/>
            <w:bCs/>
            <w:szCs w:val="20"/>
          </w:rPr>
          <w:t>REPowerEU</w:t>
        </w:r>
      </w:hyperlink>
      <w:r w:rsidR="00372499" w:rsidRPr="00372499">
        <w:rPr>
          <w:b w:val="0"/>
          <w:bCs/>
          <w:sz w:val="20"/>
          <w:szCs w:val="20"/>
        </w:rPr>
        <w:t>, the programme to increase energy security and speed up the energy transition by reducing the European Union’s dependence on fossil fuel imports.</w:t>
      </w:r>
    </w:p>
    <w:p w14:paraId="7CF8676E" w14:textId="77777777" w:rsidR="00493462" w:rsidRPr="00493462" w:rsidRDefault="00493462" w:rsidP="001F0672">
      <w:pPr>
        <w:pStyle w:val="EIB"/>
        <w:spacing w:before="100" w:beforeAutospacing="1" w:after="100" w:afterAutospacing="1"/>
        <w:rPr>
          <w:b/>
          <w:bCs/>
        </w:rPr>
      </w:pPr>
      <w:r w:rsidRPr="00493462">
        <w:rPr>
          <w:b/>
          <w:bCs/>
        </w:rPr>
        <w:t>State-of-the-art renewable energy for Germany</w:t>
      </w:r>
    </w:p>
    <w:p w14:paraId="17DC5C14" w14:textId="2601831A" w:rsidR="00493462" w:rsidRDefault="00493462" w:rsidP="001F0672">
      <w:pPr>
        <w:pStyle w:val="EIB"/>
        <w:spacing w:before="100" w:beforeAutospacing="1" w:after="100" w:afterAutospacing="1"/>
      </w:pPr>
      <w:r>
        <w:t xml:space="preserve">Windanker sets new standards for offshore wind technology, deploying 21 Siemens Gamesa SG 14-236 DD turbines, each up to 15 MW—among the most advanced and powerful offshore wind </w:t>
      </w:r>
      <w:r w:rsidR="005C0267">
        <w:t xml:space="preserve">turbines </w:t>
      </w:r>
      <w:r>
        <w:t xml:space="preserve">globally. </w:t>
      </w:r>
    </w:p>
    <w:p w14:paraId="73683B45" w14:textId="230F31F2" w:rsidR="00493462" w:rsidRDefault="00493462" w:rsidP="001F0672">
      <w:pPr>
        <w:pStyle w:val="EIB"/>
        <w:spacing w:before="100" w:beforeAutospacing="1" w:after="100" w:afterAutospacing="1"/>
      </w:pPr>
      <w:r>
        <w:t>These turbines feature a groundbreaking 236-meter rotor and direct drive technology, increasing reliability and operational performance, and enabling over 30% more annual energy production compared to previous models. Innovative engineering and construction techniques are applied throughout the farm to ensure maximum efficiency, safety, and sustainability.</w:t>
      </w:r>
    </w:p>
    <w:p w14:paraId="2CF27919" w14:textId="18FBDEEB" w:rsidR="00FC3296" w:rsidRPr="001F0672" w:rsidRDefault="00493462" w:rsidP="001F0672">
      <w:pPr>
        <w:pStyle w:val="EIB"/>
        <w:spacing w:before="100" w:beforeAutospacing="1" w:after="100" w:afterAutospacing="1"/>
      </w:pPr>
      <w:r>
        <w:t xml:space="preserve">The foundations, up to 84 meters long and </w:t>
      </w:r>
      <w:r w:rsidR="008D2F62">
        <w:t xml:space="preserve">up to </w:t>
      </w:r>
      <w:r>
        <w:t xml:space="preserve">2,100 tons in weight, are being installed by Van Oord’s Svanen vessel. </w:t>
      </w:r>
      <w:r w:rsidR="00A00FD5">
        <w:t xml:space="preserve">Construction started earlier this month with the installation of the first monopile. </w:t>
      </w:r>
      <w:r>
        <w:t xml:space="preserve">Turbine installation will follow in 2026, with full commissioning expected in the fourth quarter of 2026. </w:t>
      </w:r>
    </w:p>
    <w:p w14:paraId="090E5C77" w14:textId="7ECDCE55" w:rsidR="00333F17" w:rsidRPr="00333F17" w:rsidRDefault="009F7951" w:rsidP="001F0672">
      <w:pPr>
        <w:pStyle w:val="EIB"/>
        <w:spacing w:before="100" w:beforeAutospacing="1" w:after="100" w:afterAutospacing="1"/>
        <w:rPr>
          <w:b/>
          <w:bCs/>
        </w:rPr>
      </w:pPr>
      <w:r w:rsidRPr="00333F17">
        <w:rPr>
          <w:b/>
          <w:bCs/>
        </w:rPr>
        <w:t>Supporting</w:t>
      </w:r>
      <w:r w:rsidR="00333F17" w:rsidRPr="00333F17">
        <w:rPr>
          <w:b/>
          <w:bCs/>
        </w:rPr>
        <w:t xml:space="preserve"> skilled green jobs </w:t>
      </w:r>
      <w:r w:rsidR="00FC3296">
        <w:rPr>
          <w:b/>
          <w:bCs/>
        </w:rPr>
        <w:t xml:space="preserve">in a cohesion region </w:t>
      </w:r>
    </w:p>
    <w:p w14:paraId="3FFF5EA5" w14:textId="11A39439" w:rsidR="00333F17" w:rsidRPr="001F0672" w:rsidRDefault="00C85835" w:rsidP="001F0672">
      <w:pPr>
        <w:pStyle w:val="EIBBackgroundContacts"/>
        <w:spacing w:before="100" w:beforeAutospacing="1" w:after="100" w:afterAutospacing="1"/>
        <w:rPr>
          <w:b w:val="0"/>
          <w:bCs/>
          <w:szCs w:val="20"/>
        </w:rPr>
      </w:pPr>
      <w:r w:rsidRPr="00976E28">
        <w:rPr>
          <w:b w:val="0"/>
          <w:bCs/>
          <w:sz w:val="20"/>
          <w:szCs w:val="20"/>
          <w:lang w:val="en-US"/>
        </w:rPr>
        <w:t xml:space="preserve">Located in Mecklenburg-Vorpommern, an EU Transition Region, the project </w:t>
      </w:r>
      <w:r w:rsidR="00493462" w:rsidRPr="00976E28">
        <w:rPr>
          <w:b w:val="0"/>
          <w:bCs/>
          <w:sz w:val="20"/>
          <w:szCs w:val="20"/>
        </w:rPr>
        <w:t xml:space="preserve">will deliver a major economic </w:t>
      </w:r>
      <w:r w:rsidR="00333F17" w:rsidRPr="00976E28">
        <w:rPr>
          <w:b w:val="0"/>
          <w:bCs/>
          <w:sz w:val="20"/>
          <w:szCs w:val="20"/>
        </w:rPr>
        <w:t>contribution</w:t>
      </w:r>
      <w:r w:rsidR="00493462" w:rsidRPr="00976E28">
        <w:rPr>
          <w:b w:val="0"/>
          <w:bCs/>
          <w:sz w:val="20"/>
          <w:szCs w:val="20"/>
        </w:rPr>
        <w:t xml:space="preserve"> to the region, with around 2,200 person-years of employment generated during construction and </w:t>
      </w:r>
      <w:r w:rsidR="008D2F62">
        <w:rPr>
          <w:b w:val="0"/>
          <w:bCs/>
          <w:sz w:val="20"/>
          <w:szCs w:val="20"/>
        </w:rPr>
        <w:t xml:space="preserve">up to </w:t>
      </w:r>
      <w:r w:rsidR="00493462" w:rsidRPr="00976E28">
        <w:rPr>
          <w:b w:val="0"/>
          <w:bCs/>
          <w:sz w:val="20"/>
          <w:szCs w:val="20"/>
        </w:rPr>
        <w:t>160 skilled permanent jobs sustained by ongoing operations.</w:t>
      </w:r>
    </w:p>
    <w:p w14:paraId="32000339" w14:textId="4B7A00AF" w:rsidR="00FC3296" w:rsidRPr="001F0672" w:rsidRDefault="00493462" w:rsidP="001F0672">
      <w:pPr>
        <w:pStyle w:val="EIB"/>
        <w:spacing w:before="100" w:beforeAutospacing="1" w:after="100" w:afterAutospacing="1"/>
      </w:pPr>
      <w:r>
        <w:t xml:space="preserve">The majority of new roles will emphasize technical “green skills,” fostering long-term local expertise and workforce </w:t>
      </w:r>
      <w:r w:rsidR="00C85835">
        <w:t>development</w:t>
      </w:r>
      <w:r w:rsidR="009F7951">
        <w:t xml:space="preserve"> while reinforcing </w:t>
      </w:r>
      <w:r w:rsidR="00C85835">
        <w:t>industrial cooperation between Germany and Spain.</w:t>
      </w:r>
    </w:p>
    <w:p w14:paraId="6E9F2B05" w14:textId="52AF814B" w:rsidR="00493462" w:rsidRPr="00493462" w:rsidRDefault="00493462" w:rsidP="001F0672">
      <w:pPr>
        <w:pStyle w:val="EIB"/>
        <w:spacing w:before="100" w:beforeAutospacing="1" w:after="100" w:afterAutospacing="1"/>
        <w:rPr>
          <w:b/>
          <w:bCs/>
        </w:rPr>
      </w:pPr>
      <w:r w:rsidRPr="00493462">
        <w:rPr>
          <w:b/>
          <w:bCs/>
        </w:rPr>
        <w:t>Financing structure and guarantees</w:t>
      </w:r>
    </w:p>
    <w:p w14:paraId="3A8C9D0E" w14:textId="1ACDB0F7" w:rsidR="00493462" w:rsidRDefault="00493462" w:rsidP="001F0672">
      <w:pPr>
        <w:pStyle w:val="EIB"/>
        <w:spacing w:before="100" w:beforeAutospacing="1" w:after="100" w:afterAutospacing="1"/>
      </w:pPr>
      <w:r>
        <w:t>Windanker is Iberdrola’s third major offshore wind development in the German Baltic Sea and marks a significant step forward for the company’s Baltic Hub strategy.</w:t>
      </w:r>
    </w:p>
    <w:p w14:paraId="671BC796" w14:textId="600ABA76" w:rsidR="00FC3296" w:rsidRPr="001F0672" w:rsidRDefault="00493462" w:rsidP="001F0672">
      <w:pPr>
        <w:pStyle w:val="EIB"/>
        <w:spacing w:before="100" w:beforeAutospacing="1" w:after="100" w:afterAutospacing="1"/>
      </w:pPr>
      <w:r>
        <w:t xml:space="preserve">The </w:t>
      </w:r>
      <w:r w:rsidR="00FC3296">
        <w:t>€</w:t>
      </w:r>
      <w:r>
        <w:t>500 million financing</w:t>
      </w:r>
      <w:r w:rsidR="00333F17">
        <w:t xml:space="preserve"> to Iberdrola </w:t>
      </w:r>
      <w:r>
        <w:t xml:space="preserve">is backed by a guarantee from the Spanish export credit agency </w:t>
      </w:r>
      <w:r w:rsidR="006C32DC">
        <w:t>Cesce</w:t>
      </w:r>
      <w:r>
        <w:t xml:space="preserve">, ensuring robust security for stakeholders. </w:t>
      </w:r>
    </w:p>
    <w:p w14:paraId="726E3529" w14:textId="77777777" w:rsidR="00493462" w:rsidRPr="00493462" w:rsidRDefault="00493462" w:rsidP="001F0672">
      <w:pPr>
        <w:pStyle w:val="EIB"/>
        <w:spacing w:before="100" w:beforeAutospacing="1" w:after="100" w:afterAutospacing="1"/>
        <w:rPr>
          <w:b/>
          <w:bCs/>
        </w:rPr>
      </w:pPr>
      <w:r w:rsidRPr="00493462">
        <w:rPr>
          <w:b/>
          <w:bCs/>
        </w:rPr>
        <w:t>Project contribution and sustainability</w:t>
      </w:r>
    </w:p>
    <w:p w14:paraId="06F8382E" w14:textId="16A02CB1" w:rsidR="00493462" w:rsidRDefault="00493462" w:rsidP="001F0672">
      <w:pPr>
        <w:pStyle w:val="EIB"/>
        <w:spacing w:before="100" w:beforeAutospacing="1" w:after="100" w:afterAutospacing="1"/>
      </w:pPr>
      <w:r>
        <w:t xml:space="preserve">As a major contributor to Europe’s REPowerEU initiative and Germany’s National Energy and Climate Plan, </w:t>
      </w:r>
      <w:r w:rsidR="00333F17">
        <w:t xml:space="preserve">the </w:t>
      </w:r>
      <w:r>
        <w:t xml:space="preserve">Windanker </w:t>
      </w:r>
      <w:r w:rsidR="00333F17">
        <w:t xml:space="preserve">project </w:t>
      </w:r>
      <w:r>
        <w:t>will help accelerate the country’s energy transition, reduce carbon emissions by an estimated 672,000 tons CO2 annually, and support the national target to achieve 80% renewable share in electricity by 2030.</w:t>
      </w:r>
    </w:p>
    <w:p w14:paraId="65498362" w14:textId="78B93E26" w:rsidR="00361CAA" w:rsidRDefault="00493462" w:rsidP="001F0672">
      <w:pPr>
        <w:pStyle w:val="EIB"/>
        <w:spacing w:before="100" w:beforeAutospacing="1" w:after="100" w:afterAutospacing="1"/>
      </w:pPr>
      <w:r>
        <w:t xml:space="preserve">The majority of the renewable electricity generated will be traded through long-term power purchase agreements (PPAs) on the German market. </w:t>
      </w:r>
    </w:p>
    <w:p w14:paraId="66F5CBF5" w14:textId="0BFB4687" w:rsidR="00FC3296" w:rsidRPr="00335B5A" w:rsidRDefault="00F97087" w:rsidP="001F0672">
      <w:pPr>
        <w:pStyle w:val="EIBBackgroundContacts"/>
        <w:spacing w:before="100" w:beforeAutospacing="1" w:after="100" w:afterAutospacing="1"/>
        <w:rPr>
          <w:b w:val="0"/>
          <w:bCs/>
          <w:i/>
          <w:iCs/>
          <w:sz w:val="20"/>
          <w:szCs w:val="20"/>
        </w:rPr>
      </w:pPr>
      <w:r w:rsidRPr="00335B5A">
        <w:rPr>
          <w:b w:val="0"/>
          <w:bCs/>
          <w:i/>
          <w:iCs/>
          <w:sz w:val="20"/>
          <w:szCs w:val="20"/>
        </w:rPr>
        <w:t xml:space="preserve">Photo caption: </w:t>
      </w:r>
      <w:r w:rsidR="009D5FA1" w:rsidRPr="00335B5A">
        <w:rPr>
          <w:b w:val="0"/>
          <w:bCs/>
          <w:i/>
          <w:iCs/>
          <w:sz w:val="20"/>
          <w:szCs w:val="20"/>
        </w:rPr>
        <w:t xml:space="preserve">Iberdrola </w:t>
      </w:r>
      <w:r w:rsidRPr="00335B5A">
        <w:rPr>
          <w:b w:val="0"/>
          <w:bCs/>
          <w:i/>
          <w:iCs/>
          <w:sz w:val="20"/>
          <w:szCs w:val="20"/>
        </w:rPr>
        <w:t>Windkanker offshore wind farm</w:t>
      </w:r>
      <w:r w:rsidR="009D5FA1" w:rsidRPr="00335B5A">
        <w:rPr>
          <w:b w:val="0"/>
          <w:bCs/>
          <w:i/>
          <w:iCs/>
          <w:sz w:val="20"/>
          <w:szCs w:val="20"/>
        </w:rPr>
        <w:t xml:space="preserve"> </w:t>
      </w:r>
    </w:p>
    <w:p w14:paraId="25CC6FD0" w14:textId="77777777" w:rsidR="001F0672" w:rsidRDefault="001F0672">
      <w:pPr>
        <w:spacing w:before="0" w:after="0" w:line="240" w:lineRule="auto"/>
        <w:rPr>
          <w:rFonts w:eastAsia="Times New Roman" w:cs="Arial"/>
          <w:b/>
          <w:color w:val="000000"/>
          <w:sz w:val="22"/>
          <w:szCs w:val="22"/>
          <w:lang w:val="en-GB"/>
        </w:rPr>
      </w:pPr>
      <w:r>
        <w:br w:type="page"/>
      </w:r>
    </w:p>
    <w:p w14:paraId="6822266A" w14:textId="7F16B937" w:rsidR="002D4D2B" w:rsidRDefault="002D4D2B" w:rsidP="001F0672">
      <w:pPr>
        <w:pStyle w:val="EIBBackgroundContacts"/>
        <w:spacing w:before="100" w:beforeAutospacing="1" w:after="100" w:afterAutospacing="1"/>
      </w:pPr>
      <w:r>
        <w:lastRenderedPageBreak/>
        <w:t xml:space="preserve">Background information </w:t>
      </w:r>
    </w:p>
    <w:p w14:paraId="0128A759" w14:textId="77777777" w:rsidR="002D4D2B" w:rsidRDefault="002D4D2B" w:rsidP="001F0672">
      <w:pPr>
        <w:spacing w:before="100" w:beforeAutospacing="1" w:after="100" w:afterAutospacing="1" w:line="240" w:lineRule="auto"/>
        <w:jc w:val="both"/>
        <w:rPr>
          <w:sz w:val="22"/>
          <w:szCs w:val="22"/>
        </w:rPr>
      </w:pPr>
      <w:r>
        <w:rPr>
          <w:b/>
          <w:bCs/>
        </w:rPr>
        <w:t>EIB</w:t>
      </w:r>
    </w:p>
    <w:p w14:paraId="39A1C9B0" w14:textId="4F73D8E7" w:rsidR="00254574" w:rsidRPr="00254574" w:rsidRDefault="00254574" w:rsidP="001F0672">
      <w:pPr>
        <w:spacing w:before="100" w:beforeAutospacing="1" w:after="100" w:afterAutospacing="1" w:line="240" w:lineRule="auto"/>
        <w:jc w:val="both"/>
        <w:rPr>
          <w:lang w:val="en-GB"/>
        </w:rPr>
      </w:pPr>
      <w:r w:rsidRPr="00254574">
        <w:rPr>
          <w:lang w:val="en-GB"/>
        </w:rPr>
        <w:t>The European Investment Bank (ElB) is the long-term lending institution of the European Union, owned by its Member States. The EIB finances investments in </w:t>
      </w:r>
      <w:hyperlink r:id="rId18" w:tgtFrame="_blank" w:history="1">
        <w:r w:rsidRPr="00254574">
          <w:rPr>
            <w:rStyle w:val="Hyperlink"/>
            <w:lang w:val="en-GB"/>
          </w:rPr>
          <w:t>eight core priorities</w:t>
        </w:r>
      </w:hyperlink>
      <w:r w:rsidRPr="00254574">
        <w:rPr>
          <w:lang w:val="en-GB"/>
        </w:rPr>
        <w:t> that support EU </w:t>
      </w:r>
      <w:hyperlink r:id="rId19" w:tgtFrame="_blank" w:history="1">
        <w:r w:rsidRPr="00254574">
          <w:rPr>
            <w:rStyle w:val="Hyperlink"/>
            <w:lang w:val="en-GB"/>
          </w:rPr>
          <w:t>policy objectives</w:t>
        </w:r>
      </w:hyperlink>
      <w:r w:rsidRPr="00254574">
        <w:rPr>
          <w:lang w:val="en-GB"/>
        </w:rPr>
        <w:t>: climate action and the environment, digitalisation and technological innovation, security and defence, cohesion, agriculture and the bioeconomy, social infrastructure, a stronger Europe in a more peaceful and prosperous world and Europe’s capital markets union.   </w:t>
      </w:r>
    </w:p>
    <w:p w14:paraId="0EC32B4C" w14:textId="77777777" w:rsidR="00254574" w:rsidRPr="00254574" w:rsidRDefault="00254574" w:rsidP="001F0672">
      <w:pPr>
        <w:spacing w:before="100" w:beforeAutospacing="1" w:after="100" w:afterAutospacing="1" w:line="240" w:lineRule="auto"/>
        <w:jc w:val="both"/>
        <w:rPr>
          <w:lang w:val="en-GB"/>
        </w:rPr>
      </w:pPr>
      <w:r w:rsidRPr="00254574">
        <w:rPr>
          <w:lang w:val="en-GB"/>
        </w:rPr>
        <w:t>The EIB Group, which also includes the </w:t>
      </w:r>
      <w:hyperlink r:id="rId20" w:tgtFrame="_blank" w:history="1">
        <w:r w:rsidRPr="00254574">
          <w:rPr>
            <w:rStyle w:val="Hyperlink"/>
            <w:lang w:val="en-GB"/>
          </w:rPr>
          <w:t>European Investment Fund (EIF)</w:t>
        </w:r>
      </w:hyperlink>
      <w:r w:rsidRPr="00254574">
        <w:rPr>
          <w:lang w:val="en-GB"/>
        </w:rPr>
        <w:t>, signed nearly €89 billion in new financing for over 900 high</w:t>
      </w:r>
      <w:hyperlink r:id="rId21" w:tgtFrame="_blank" w:history="1">
        <w:r w:rsidRPr="00254574">
          <w:rPr>
            <w:rStyle w:val="Hyperlink"/>
            <w:lang w:val="en-GB"/>
          </w:rPr>
          <w:t>-impact projects</w:t>
        </w:r>
      </w:hyperlink>
      <w:r w:rsidRPr="00254574">
        <w:rPr>
          <w:lang w:val="en-GB"/>
        </w:rPr>
        <w:t> in 2024, boosting Europe’s competitiveness and security.    </w:t>
      </w:r>
    </w:p>
    <w:p w14:paraId="7060CB96" w14:textId="77777777" w:rsidR="00254574" w:rsidRPr="00254574" w:rsidRDefault="00254574" w:rsidP="001F0672">
      <w:pPr>
        <w:spacing w:before="100" w:beforeAutospacing="1" w:after="100" w:afterAutospacing="1" w:line="240" w:lineRule="auto"/>
        <w:jc w:val="both"/>
        <w:rPr>
          <w:lang w:val="en-GB"/>
        </w:rPr>
      </w:pPr>
      <w:r w:rsidRPr="00254574">
        <w:rPr>
          <w:lang w:val="en-GB"/>
        </w:rPr>
        <w:t>Approximately half of the EIB's financing within the EU targets cohesion regions, where per-capita income is below the EU average, while almost 60% of annual EIB Group investments support climate action and environmental sustainability. </w:t>
      </w:r>
    </w:p>
    <w:p w14:paraId="6CE71067" w14:textId="72E559CC" w:rsidR="00F30E24" w:rsidRPr="009932FE" w:rsidRDefault="00254574" w:rsidP="001F0672">
      <w:pPr>
        <w:spacing w:before="100" w:beforeAutospacing="1" w:after="100" w:afterAutospacing="1" w:line="240" w:lineRule="auto"/>
        <w:jc w:val="both"/>
        <w:rPr>
          <w:lang w:val="en-GB"/>
        </w:rPr>
      </w:pPr>
      <w:r w:rsidRPr="00254574">
        <w:rPr>
          <w:lang w:val="en-GB"/>
        </w:rPr>
        <w:t>High-quality, up-to-date photos of the organisation’s headquarters for media use are available </w:t>
      </w:r>
      <w:hyperlink r:id="rId22" w:tgtFrame="_blank" w:history="1">
        <w:r w:rsidRPr="00254574">
          <w:rPr>
            <w:rStyle w:val="Hyperlink"/>
            <w:lang w:val="en-GB"/>
          </w:rPr>
          <w:t>here</w:t>
        </w:r>
      </w:hyperlink>
      <w:r w:rsidRPr="00254574">
        <w:rPr>
          <w:lang w:val="en-GB"/>
        </w:rPr>
        <w:t>.  </w:t>
      </w:r>
    </w:p>
    <w:p w14:paraId="0E156612" w14:textId="1787D947" w:rsidR="00372499" w:rsidRDefault="00372499" w:rsidP="001F0672">
      <w:pPr>
        <w:spacing w:before="100" w:beforeAutospacing="1" w:after="100" w:afterAutospacing="1" w:line="240" w:lineRule="auto"/>
        <w:jc w:val="both"/>
        <w:rPr>
          <w:rFonts w:cs="Arial"/>
          <w:bCs/>
          <w:color w:val="000000"/>
          <w:szCs w:val="20"/>
        </w:rPr>
      </w:pPr>
      <w:r>
        <w:rPr>
          <w:rFonts w:cs="Arial"/>
          <w:b/>
          <w:color w:val="000000"/>
          <w:sz w:val="22"/>
        </w:rPr>
        <w:t>Iberdrola</w:t>
      </w:r>
    </w:p>
    <w:p w14:paraId="7DBCE635" w14:textId="728ACA70" w:rsidR="00B41472" w:rsidRPr="0083708B" w:rsidRDefault="00B41472" w:rsidP="001F0672">
      <w:pPr>
        <w:spacing w:before="100" w:beforeAutospacing="1" w:after="100" w:afterAutospacing="1" w:line="240" w:lineRule="auto"/>
        <w:jc w:val="both"/>
      </w:pPr>
      <w:r w:rsidRPr="0083708B">
        <w:t>With a market capitalization exceeding €1</w:t>
      </w:r>
      <w:r w:rsidR="00F600EC">
        <w:t>20</w:t>
      </w:r>
      <w:r w:rsidRPr="0083708B">
        <w:t xml:space="preserve"> billion, Iberdrola is the largest electric utility in Europe and one of the two largest globally. The Group serves more than 100 million people worldwide, employs over 45,000 people, and has assets exceeding €160 billion. In 2024, Iberdrola reported revenues of nearly €50 billion and a net profit of €5.6 billion. The company contributes approximately €10.3 billion in taxes in the countries where it operates and supports more than 500,000 jobs through its suppliers, thanks to purchases exceeding €18 billion in 2024.</w:t>
      </w:r>
    </w:p>
    <w:p w14:paraId="642ED06F" w14:textId="63B2D806" w:rsidR="00372499" w:rsidRPr="001F0672" w:rsidRDefault="00B41472" w:rsidP="001F0672">
      <w:pPr>
        <w:spacing w:before="100" w:beforeAutospacing="1" w:after="100" w:afterAutospacing="1" w:line="240" w:lineRule="auto"/>
        <w:jc w:val="both"/>
      </w:pPr>
      <w:r w:rsidRPr="0083708B">
        <w:t>Since 2001, Iberdrola has invested more than €175 billion in power grids, renewable energy, and energy storage to help create an electrification-based energy model. The company operates nearly 1.4 million km of power grids in the United States (New York, Connecticut, Maine, and Massachusetts), the United Kingdom (Scotland, England, and Wales), Brazil (Bahia, Rio Grande do Norte, Pernambuco, São Paulo, Mato Grosso do Sul, and Brasília), and Spain. It has 57,000 MW of capacity worldwide, of which more than 45,000 MW are renewable.</w:t>
      </w:r>
    </w:p>
    <w:p w14:paraId="33D0EE6C" w14:textId="2A54E319" w:rsidR="00C85835" w:rsidRPr="009932FE" w:rsidRDefault="00C85835" w:rsidP="001F0672">
      <w:pPr>
        <w:spacing w:before="100" w:beforeAutospacing="1" w:after="100" w:afterAutospacing="1" w:line="240" w:lineRule="auto"/>
        <w:jc w:val="both"/>
        <w:rPr>
          <w:rFonts w:cs="Arial"/>
          <w:b/>
          <w:color w:val="000000"/>
          <w:sz w:val="22"/>
          <w:lang w:val="en-GB"/>
        </w:rPr>
      </w:pPr>
      <w:r w:rsidRPr="009932FE">
        <w:rPr>
          <w:rFonts w:cs="Arial"/>
          <w:b/>
          <w:color w:val="000000"/>
          <w:sz w:val="22"/>
          <w:lang w:val="en-GB"/>
        </w:rPr>
        <w:t>C</w:t>
      </w:r>
      <w:r w:rsidR="00F741A0">
        <w:rPr>
          <w:rFonts w:cs="Arial"/>
          <w:b/>
          <w:color w:val="000000"/>
          <w:sz w:val="22"/>
          <w:lang w:val="en-GB"/>
        </w:rPr>
        <w:t>esce</w:t>
      </w:r>
    </w:p>
    <w:p w14:paraId="030B6E16" w14:textId="26C91EAD" w:rsidR="006C32DC" w:rsidRPr="0081452B" w:rsidRDefault="0081452B" w:rsidP="001F0672">
      <w:pPr>
        <w:spacing w:before="100" w:beforeAutospacing="1" w:after="100" w:afterAutospacing="1" w:line="240" w:lineRule="auto"/>
        <w:jc w:val="both"/>
        <w:rPr>
          <w:color w:val="000000"/>
          <w:lang w:val="en-GB"/>
        </w:rPr>
      </w:pPr>
      <w:r w:rsidRPr="009932FE">
        <w:rPr>
          <w:color w:val="000000"/>
          <w:lang w:val="en-GB"/>
        </w:rPr>
        <w:t>Cesce is the Spanish export credit agency. Through a wide range of insurance and guarantees, it supports Spanish companies in making their international activity safer and more competitive.</w:t>
      </w:r>
    </w:p>
    <w:p w14:paraId="70CF9F60" w14:textId="77777777" w:rsidR="00C85835" w:rsidRPr="009932FE" w:rsidRDefault="00C85835" w:rsidP="001F0672">
      <w:pPr>
        <w:spacing w:before="100" w:beforeAutospacing="1" w:after="100" w:afterAutospacing="1" w:line="240" w:lineRule="auto"/>
        <w:jc w:val="both"/>
        <w:rPr>
          <w:rFonts w:cs="Arial"/>
          <w:b/>
          <w:color w:val="000000"/>
          <w:sz w:val="22"/>
          <w:lang w:val="en-GB"/>
        </w:rPr>
      </w:pPr>
    </w:p>
    <w:p w14:paraId="3E0ED8E4" w14:textId="0222F7DF" w:rsidR="00361CAA" w:rsidRDefault="00361CAA" w:rsidP="001F0672">
      <w:pPr>
        <w:spacing w:before="0" w:after="0" w:line="240" w:lineRule="auto"/>
        <w:jc w:val="both"/>
        <w:rPr>
          <w:rFonts w:cs="Arial"/>
          <w:b/>
          <w:color w:val="000000"/>
          <w:sz w:val="22"/>
        </w:rPr>
      </w:pPr>
      <w:r>
        <w:rPr>
          <w:rFonts w:cs="Arial"/>
          <w:b/>
          <w:color w:val="000000"/>
          <w:sz w:val="22"/>
        </w:rPr>
        <w:t>Press contacts</w:t>
      </w:r>
    </w:p>
    <w:p w14:paraId="5AA36DC1" w14:textId="77777777" w:rsidR="00361CAA" w:rsidRDefault="00361CAA" w:rsidP="001F0672">
      <w:pPr>
        <w:spacing w:before="0" w:after="0" w:line="240" w:lineRule="auto"/>
        <w:jc w:val="both"/>
        <w:rPr>
          <w:rFonts w:cs="Arial"/>
          <w:b/>
          <w:color w:val="000000"/>
          <w:sz w:val="22"/>
        </w:rPr>
      </w:pPr>
    </w:p>
    <w:p w14:paraId="09707FDD" w14:textId="77777777" w:rsidR="00DB3126" w:rsidRDefault="00DB3126" w:rsidP="001F0672">
      <w:pPr>
        <w:spacing w:before="0" w:after="0" w:line="240" w:lineRule="auto"/>
        <w:rPr>
          <w:rFonts w:cs="Arial"/>
          <w:bCs/>
          <w:lang w:val="en-GB"/>
        </w:rPr>
      </w:pPr>
      <w:r w:rsidRPr="00C129AB">
        <w:rPr>
          <w:rFonts w:cs="Arial"/>
          <w:b/>
          <w:lang w:val="en-GB"/>
        </w:rPr>
        <w:t>Richard Willis</w:t>
      </w:r>
      <w:r w:rsidRPr="00C129AB">
        <w:rPr>
          <w:rFonts w:cs="Arial"/>
          <w:b/>
          <w:bCs/>
          <w:lang w:val="en-GB"/>
        </w:rPr>
        <w:t xml:space="preserve">, </w:t>
      </w:r>
      <w:hyperlink r:id="rId23" w:history="1">
        <w:r w:rsidRPr="00C129AB">
          <w:rPr>
            <w:rStyle w:val="Hyperlink"/>
            <w:rFonts w:cs="Arial"/>
            <w:bCs/>
            <w:lang w:val="en-GB"/>
          </w:rPr>
          <w:t>r.willis@eib.org</w:t>
        </w:r>
      </w:hyperlink>
      <w:r w:rsidRPr="00C129AB">
        <w:rPr>
          <w:rFonts w:cs="Arial"/>
          <w:bCs/>
          <w:lang w:val="en-GB"/>
        </w:rPr>
        <w:t>, tel.: +352 43 79 82155 / Mobile:  +352 621 55 57 58</w:t>
      </w:r>
    </w:p>
    <w:p w14:paraId="752D4E81" w14:textId="6F329D51" w:rsidR="00DB3126" w:rsidRPr="00C129AB" w:rsidRDefault="00DB3126" w:rsidP="001F0672">
      <w:pPr>
        <w:spacing w:before="0" w:after="0" w:line="240" w:lineRule="auto"/>
        <w:rPr>
          <w:rFonts w:cs="Arial"/>
          <w:bCs/>
          <w:lang w:val="en-GB"/>
        </w:rPr>
      </w:pPr>
      <w:r w:rsidRPr="00DB3126">
        <w:rPr>
          <w:rFonts w:cs="Arial"/>
          <w:b/>
          <w:bCs/>
        </w:rPr>
        <w:t xml:space="preserve">Maite Cordero </w:t>
      </w:r>
      <w:r w:rsidRPr="00DB3126">
        <w:rPr>
          <w:rFonts w:cs="Arial"/>
          <w:bCs/>
        </w:rPr>
        <w:t xml:space="preserve">| </w:t>
      </w:r>
      <w:hyperlink r:id="rId24" w:history="1">
        <w:r w:rsidRPr="00DB3126">
          <w:rPr>
            <w:rStyle w:val="Hyperlink"/>
            <w:rFonts w:cs="Arial"/>
            <w:bCs/>
          </w:rPr>
          <w:t>m.corderomunoz@eib.org</w:t>
        </w:r>
      </w:hyperlink>
      <w:r w:rsidRPr="00DB3126">
        <w:rPr>
          <w:rFonts w:cs="Arial"/>
          <w:bCs/>
        </w:rPr>
        <w:t xml:space="preserve"> | tel.: +34 606 66 82 62</w:t>
      </w:r>
      <w:r w:rsidRPr="00C129AB">
        <w:rPr>
          <w:rFonts w:cs="Arial"/>
          <w:bCs/>
          <w:lang w:val="en-GB"/>
        </w:rPr>
        <w:br/>
        <w:t xml:space="preserve">Website: </w:t>
      </w:r>
      <w:hyperlink r:id="rId25" w:history="1">
        <w:r w:rsidRPr="00C129AB">
          <w:rPr>
            <w:rStyle w:val="Hyperlink"/>
            <w:rFonts w:cs="Arial"/>
            <w:bCs/>
            <w:lang w:val="en-GB"/>
          </w:rPr>
          <w:t>www.eib.org/press</w:t>
        </w:r>
      </w:hyperlink>
      <w:r w:rsidRPr="00C129AB">
        <w:rPr>
          <w:rFonts w:cs="Arial"/>
          <w:bCs/>
          <w:lang w:val="en-GB"/>
        </w:rPr>
        <w:t xml:space="preserve"> - Press Office: </w:t>
      </w:r>
      <w:hyperlink r:id="rId26" w:history="1">
        <w:r w:rsidRPr="00C129AB">
          <w:rPr>
            <w:rStyle w:val="Hyperlink"/>
            <w:rFonts w:cs="Arial"/>
            <w:bCs/>
            <w:lang w:val="en-GB"/>
          </w:rPr>
          <w:t>press@eib.org</w:t>
        </w:r>
      </w:hyperlink>
    </w:p>
    <w:p w14:paraId="5506C093" w14:textId="77777777" w:rsidR="001F0672" w:rsidRDefault="001F0672" w:rsidP="001F0672">
      <w:pPr>
        <w:spacing w:before="0" w:after="0" w:line="240" w:lineRule="auto"/>
        <w:rPr>
          <w:rStyle w:val="ListParagraphChar"/>
          <w:lang w:val="es-ES"/>
        </w:rPr>
      </w:pPr>
    </w:p>
    <w:p w14:paraId="136E95FE" w14:textId="64DEDE65" w:rsidR="005631A7" w:rsidRPr="0083708B" w:rsidRDefault="00361CAA" w:rsidP="001F0672">
      <w:pPr>
        <w:spacing w:before="0" w:after="0" w:line="240" w:lineRule="auto"/>
        <w:rPr>
          <w:lang w:val="es-ES" w:eastAsia="en-GB"/>
        </w:rPr>
      </w:pPr>
      <w:r w:rsidRPr="00F97087">
        <w:rPr>
          <w:rStyle w:val="ListParagraphChar"/>
          <w:lang w:val="es-ES"/>
        </w:rPr>
        <w:br/>
      </w:r>
      <w:r w:rsidR="00C83618">
        <w:rPr>
          <w:noProof/>
        </w:rPr>
        <w:drawing>
          <wp:inline distT="0" distB="0" distL="0" distR="0" wp14:anchorId="34E3148A" wp14:editId="0697BB1E">
            <wp:extent cx="146050" cy="146050"/>
            <wp:effectExtent l="0" t="0" r="6350" b="6350"/>
            <wp:docPr id="391501877" name="Picture 391501877" descr="Linkedin icon hyperlink">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kedin icon hyperlink">
                      <a:hlinkClick r:id="rId27"/>
                    </pic:cNvPr>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C83618" w:rsidRPr="009932FE">
        <w:rPr>
          <w:lang w:val="es-ES"/>
        </w:rPr>
        <w:t xml:space="preserve">  </w:t>
      </w:r>
      <w:r w:rsidR="00C83618">
        <w:rPr>
          <w:noProof/>
        </w:rPr>
        <w:drawing>
          <wp:inline distT="0" distB="0" distL="0" distR="0" wp14:anchorId="05F21E3B" wp14:editId="347E76FB">
            <wp:extent cx="146050" cy="146050"/>
            <wp:effectExtent l="0" t="0" r="6350" b="6350"/>
            <wp:docPr id="1773683585" name="Picture 1773683585" descr="Instagram icon hyperlink">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stagram icon hyperlink">
                      <a:hlinkClick r:id="rId30"/>
                    </pic:cNvPr>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C83618" w:rsidRPr="009932FE">
        <w:rPr>
          <w:lang w:val="es-ES"/>
        </w:rPr>
        <w:t xml:space="preserve">  </w:t>
      </w:r>
      <w:r w:rsidR="00C83618">
        <w:rPr>
          <w:noProof/>
        </w:rPr>
        <w:drawing>
          <wp:inline distT="0" distB="0" distL="0" distR="0" wp14:anchorId="72A741D7" wp14:editId="1595B9F6">
            <wp:extent cx="144780" cy="144780"/>
            <wp:effectExtent l="0" t="0" r="7620" b="7620"/>
            <wp:docPr id="1714011042" name="Picture 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33"/>
                    </pic:cNvPr>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00C83618" w:rsidRPr="009932FE">
        <w:rPr>
          <w:lang w:val="es-ES"/>
        </w:rPr>
        <w:t xml:space="preserve">  </w:t>
      </w:r>
      <w:r w:rsidR="00C83618">
        <w:rPr>
          <w:noProof/>
        </w:rPr>
        <w:drawing>
          <wp:inline distT="0" distB="0" distL="0" distR="0" wp14:anchorId="2C0BD8BA" wp14:editId="5D86208D">
            <wp:extent cx="144780" cy="144780"/>
            <wp:effectExtent l="0" t="0" r="7620" b="7620"/>
            <wp:docPr id="358639619" name="Picture 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35"/>
                    </pic:cNvPr>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00C83618" w:rsidRPr="009932FE">
        <w:rPr>
          <w:lang w:val="es-ES"/>
        </w:rPr>
        <w:t xml:space="preserve">  </w:t>
      </w:r>
      <w:r w:rsidR="00C83618">
        <w:rPr>
          <w:noProof/>
        </w:rPr>
        <w:drawing>
          <wp:inline distT="0" distB="0" distL="0" distR="0" wp14:anchorId="7D9B97E9" wp14:editId="551FCBEA">
            <wp:extent cx="146050" cy="146050"/>
            <wp:effectExtent l="0" t="0" r="6350" b="6350"/>
            <wp:docPr id="574708035" name="Picture 574708035">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8497" name="Picture 1883948497">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146050" cy="146050"/>
                    </a:xfrm>
                    <a:prstGeom prst="rect">
                      <a:avLst/>
                    </a:prstGeom>
                    <a:noFill/>
                    <a:ln>
                      <a:noFill/>
                    </a:ln>
                  </pic:spPr>
                </pic:pic>
              </a:graphicData>
            </a:graphic>
          </wp:inline>
        </w:drawing>
      </w:r>
      <w:r w:rsidR="00C83618" w:rsidRPr="009932FE">
        <w:rPr>
          <w:lang w:val="es-ES"/>
        </w:rPr>
        <w:t xml:space="preserve">  </w:t>
      </w:r>
      <w:r w:rsidR="00C83618">
        <w:rPr>
          <w:noProof/>
        </w:rPr>
        <w:drawing>
          <wp:inline distT="0" distB="0" distL="0" distR="0" wp14:anchorId="3FDEBD07" wp14:editId="5F069A65">
            <wp:extent cx="146050" cy="146050"/>
            <wp:effectExtent l="0" t="0" r="6350" b="6350"/>
            <wp:docPr id="2018859500" name="Picture 2018859500" descr="Facebook icon hyperlink">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acebook icon hyperlink">
                      <a:hlinkClick r:id="rId39"/>
                    </pic:cNvPr>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C83618" w:rsidRPr="009932FE">
        <w:rPr>
          <w:lang w:val="es-ES"/>
        </w:rPr>
        <w:t>  </w:t>
      </w:r>
      <w:r w:rsidR="00C83618">
        <w:rPr>
          <w:noProof/>
        </w:rPr>
        <w:drawing>
          <wp:inline distT="0" distB="0" distL="0" distR="0" wp14:anchorId="1B5E0144" wp14:editId="006348C0">
            <wp:extent cx="144780" cy="144780"/>
            <wp:effectExtent l="0" t="0" r="7620" b="7620"/>
            <wp:docPr id="1755478694" name="Picture 1755478694">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2012" name="Picture 305762012">
                      <a:hlinkClick r:id="rId42"/>
                    </pic:cNvPr>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00C83618" w:rsidRPr="009932FE">
        <w:rPr>
          <w:lang w:val="es-ES"/>
        </w:rPr>
        <w:t xml:space="preserve">  </w:t>
      </w:r>
      <w:r w:rsidR="00C83618">
        <w:rPr>
          <w:noProof/>
        </w:rPr>
        <w:drawing>
          <wp:inline distT="0" distB="0" distL="0" distR="0" wp14:anchorId="7BEAA651" wp14:editId="73FB76F2">
            <wp:extent cx="146050" cy="146050"/>
            <wp:effectExtent l="0" t="0" r="6350" b="6350"/>
            <wp:docPr id="901421242" name="Picture 901421242" descr="Youtube icon hyperlink">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tube icon hyperlink">
                      <a:hlinkClick r:id="rId44"/>
                    </pic:cNvPr>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C83618" w:rsidRPr="009932FE">
        <w:rPr>
          <w:lang w:val="es-ES"/>
        </w:rPr>
        <w:t>  </w:t>
      </w:r>
      <w:r w:rsidR="00C83618">
        <w:rPr>
          <w:noProof/>
        </w:rPr>
        <w:drawing>
          <wp:inline distT="0" distB="0" distL="0" distR="0" wp14:anchorId="110F245E" wp14:editId="0CF2E6C5">
            <wp:extent cx="146050" cy="146050"/>
            <wp:effectExtent l="0" t="0" r="6350" b="6350"/>
            <wp:docPr id="1701861424" name="Picture 1701861424" descr="Rss news icon hyperlink">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ss news icon hyperlink">
                      <a:hlinkClick r:id="rId47"/>
                    </pic:cNvPr>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1612CEEB" w14:textId="1726A315" w:rsidR="005631A7" w:rsidRPr="008B0010" w:rsidRDefault="00372499" w:rsidP="001F0672">
      <w:pPr>
        <w:spacing w:before="0" w:after="0" w:line="240" w:lineRule="auto"/>
        <w:rPr>
          <w:b/>
          <w:bCs/>
          <w:lang w:val="es-ES"/>
        </w:rPr>
      </w:pPr>
      <w:r w:rsidRPr="008B0010">
        <w:rPr>
          <w:b/>
          <w:bCs/>
          <w:lang w:val="es-ES"/>
        </w:rPr>
        <w:t>Iberdrola</w:t>
      </w:r>
    </w:p>
    <w:p w14:paraId="7BFA5EFE" w14:textId="41C8C0B0" w:rsidR="007775C5" w:rsidRPr="007775C5" w:rsidRDefault="007775C5" w:rsidP="001F0672">
      <w:pPr>
        <w:spacing w:before="0" w:after="0" w:line="240" w:lineRule="auto"/>
        <w:rPr>
          <w:lang w:val="es-ES"/>
        </w:rPr>
      </w:pPr>
      <w:r w:rsidRPr="009932FE">
        <w:rPr>
          <w:b/>
          <w:bCs/>
          <w:lang w:val="es-ES"/>
        </w:rPr>
        <w:t>Dirección de Comunicación Iberdrola España</w:t>
      </w:r>
      <w:r w:rsidR="005A681F">
        <w:rPr>
          <w:lang w:val="es-ES"/>
        </w:rPr>
        <w:t xml:space="preserve">, </w:t>
      </w:r>
      <w:hyperlink r:id="rId50" w:history="1">
        <w:r w:rsidR="005A681F" w:rsidRPr="007775C5">
          <w:rPr>
            <w:rStyle w:val="Hyperlink"/>
            <w:lang w:val="es-ES"/>
          </w:rPr>
          <w:t>comunicacioncorporativa@iberdrola.es</w:t>
        </w:r>
      </w:hyperlink>
      <w:r w:rsidR="000A1794" w:rsidRPr="009932FE">
        <w:rPr>
          <w:lang w:val="es-ES"/>
        </w:rPr>
        <w:t>,</w:t>
      </w:r>
      <w:r w:rsidR="000A1794">
        <w:rPr>
          <w:lang w:val="es-ES"/>
        </w:rPr>
        <w:br/>
      </w:r>
      <w:r w:rsidR="005A681F">
        <w:rPr>
          <w:lang w:val="es-ES"/>
        </w:rPr>
        <w:t>t</w:t>
      </w:r>
      <w:r w:rsidRPr="007775C5">
        <w:rPr>
          <w:lang w:val="es-ES"/>
        </w:rPr>
        <w:t>el: +34 91 577 65 00</w:t>
      </w:r>
    </w:p>
    <w:p w14:paraId="3C071268" w14:textId="68B0F9F3" w:rsidR="006C32DC" w:rsidRPr="009932FE" w:rsidRDefault="00C85835" w:rsidP="001F0672">
      <w:pPr>
        <w:tabs>
          <w:tab w:val="left" w:pos="5970"/>
        </w:tabs>
        <w:spacing w:before="0" w:after="0" w:line="240" w:lineRule="auto"/>
        <w:rPr>
          <w:b/>
          <w:bCs/>
          <w:lang w:val="es-ES"/>
        </w:rPr>
      </w:pPr>
      <w:r w:rsidRPr="009932FE">
        <w:rPr>
          <w:b/>
          <w:bCs/>
          <w:lang w:val="es-ES"/>
        </w:rPr>
        <w:t>C</w:t>
      </w:r>
      <w:r w:rsidR="00646BFD">
        <w:rPr>
          <w:b/>
          <w:bCs/>
          <w:lang w:val="es-ES"/>
        </w:rPr>
        <w:t>esce</w:t>
      </w:r>
    </w:p>
    <w:p w14:paraId="269A82A5" w14:textId="18E0B328" w:rsidR="006C32DC" w:rsidRPr="009932FE" w:rsidRDefault="006C32DC" w:rsidP="001F0672">
      <w:pPr>
        <w:tabs>
          <w:tab w:val="left" w:pos="5970"/>
        </w:tabs>
        <w:spacing w:before="0" w:after="0" w:line="240" w:lineRule="auto"/>
        <w:rPr>
          <w:lang w:val="es-ES"/>
        </w:rPr>
      </w:pPr>
      <w:r w:rsidRPr="009932FE">
        <w:rPr>
          <w:b/>
          <w:bCs/>
          <w:lang w:val="es-ES"/>
        </w:rPr>
        <w:t>Ángeles Sancho</w:t>
      </w:r>
      <w:r w:rsidR="000A1794">
        <w:rPr>
          <w:lang w:val="es-ES"/>
        </w:rPr>
        <w:t xml:space="preserve">, </w:t>
      </w:r>
      <w:hyperlink r:id="rId51" w:history="1">
        <w:r w:rsidRPr="009932FE">
          <w:rPr>
            <w:rStyle w:val="Hyperlink"/>
            <w:rFonts w:cs="Arial"/>
            <w:bCs/>
            <w:lang w:val="es-ES"/>
          </w:rPr>
          <w:t>angeles.sancho@cesce.es</w:t>
        </w:r>
      </w:hyperlink>
      <w:r w:rsidRPr="009932FE">
        <w:rPr>
          <w:rFonts w:cs="Arial"/>
          <w:bCs/>
          <w:lang w:val="es-ES"/>
        </w:rPr>
        <w:t xml:space="preserve"> | tel.: +34 629 86 67 69</w:t>
      </w:r>
      <w:r w:rsidRPr="009932FE">
        <w:rPr>
          <w:rFonts w:cs="Arial"/>
          <w:bCs/>
          <w:lang w:val="es-ES"/>
        </w:rPr>
        <w:br/>
      </w:r>
    </w:p>
    <w:p w14:paraId="00873DE1" w14:textId="6865DB4A" w:rsidR="005631A7" w:rsidRPr="009932FE" w:rsidRDefault="005631A7" w:rsidP="005631A7">
      <w:pPr>
        <w:tabs>
          <w:tab w:val="left" w:pos="5970"/>
        </w:tabs>
        <w:rPr>
          <w:lang w:val="es-ES"/>
        </w:rPr>
      </w:pPr>
      <w:r w:rsidRPr="009932FE">
        <w:rPr>
          <w:lang w:val="es-ES"/>
        </w:rPr>
        <w:tab/>
      </w:r>
    </w:p>
    <w:sectPr w:rsidR="005631A7" w:rsidRPr="009932FE" w:rsidSect="0070636E">
      <w:headerReference w:type="default" r:id="rId52"/>
      <w:footerReference w:type="even" r:id="rId53"/>
      <w:footerReference w:type="default" r:id="rId54"/>
      <w:footerReference w:type="first" r:id="rId55"/>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A392" w14:textId="77777777" w:rsidR="00E67765" w:rsidRDefault="00E67765" w:rsidP="001C2CE7">
      <w:pPr>
        <w:spacing w:before="0" w:after="0" w:line="240" w:lineRule="auto"/>
      </w:pPr>
      <w:r>
        <w:separator/>
      </w:r>
    </w:p>
  </w:endnote>
  <w:endnote w:type="continuationSeparator" w:id="0">
    <w:p w14:paraId="625FCFF1" w14:textId="77777777" w:rsidR="00E67765" w:rsidRDefault="00E67765" w:rsidP="001C2C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6624" w14:textId="596DF50B" w:rsidR="00B41472" w:rsidRDefault="00B41472">
    <w:pPr>
      <w:pStyle w:val="Footer"/>
    </w:pPr>
    <w:r>
      <w:rPr>
        <w:noProof/>
      </w:rPr>
      <mc:AlternateContent>
        <mc:Choice Requires="wps">
          <w:drawing>
            <wp:anchor distT="0" distB="0" distL="0" distR="0" simplePos="0" relativeHeight="251660288" behindDoc="0" locked="0" layoutInCell="1" allowOverlap="1" wp14:anchorId="6A5E7F09" wp14:editId="0B329B34">
              <wp:simplePos x="635" y="635"/>
              <wp:positionH relativeFrom="page">
                <wp:align>center</wp:align>
              </wp:positionH>
              <wp:positionV relativeFrom="page">
                <wp:align>bottom</wp:align>
              </wp:positionV>
              <wp:extent cx="754380" cy="508635"/>
              <wp:effectExtent l="0" t="0" r="7620" b="0"/>
              <wp:wrapNone/>
              <wp:docPr id="1929902166" name="Cuadro de texto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4380" cy="508635"/>
                      </a:xfrm>
                      <a:prstGeom prst="rect">
                        <a:avLst/>
                      </a:prstGeom>
                      <a:noFill/>
                      <a:ln>
                        <a:noFill/>
                      </a:ln>
                    </wps:spPr>
                    <wps:txbx>
                      <w:txbxContent>
                        <w:p w14:paraId="27E76AEA" w14:textId="73FD668D" w:rsidR="00B41472" w:rsidRPr="00B41472" w:rsidRDefault="00B41472" w:rsidP="00B41472">
                          <w:pPr>
                            <w:spacing w:after="0"/>
                            <w:rPr>
                              <w:rFonts w:ascii="Calibri" w:eastAsia="Calibri" w:hAnsi="Calibri"/>
                              <w:noProof/>
                              <w:color w:val="008000"/>
                              <w:sz w:val="24"/>
                            </w:rPr>
                          </w:pPr>
                          <w:r w:rsidRPr="00B41472">
                            <w:rPr>
                              <w:rFonts w:ascii="Calibri" w:eastAsia="Calibri" w:hAnsi="Calibri"/>
                              <w:noProof/>
                              <w:color w:val="008000"/>
                              <w:sz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5E7F09" id="_x0000_t202" coordsize="21600,21600" o:spt="202" path="m,l,21600r21600,l21600,xe">
              <v:stroke joinstyle="miter"/>
              <v:path gradientshapeok="t" o:connecttype="rect"/>
            </v:shapetype>
            <v:shape id="Cuadro de texto 2" o:spid="_x0000_s1026" type="#_x0000_t202" alt="Internal Use" style="position:absolute;margin-left:0;margin-top:0;width:59.4pt;height:40.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" filled="f" stroked="f">
              <v:textbox style="mso-fit-shape-to-text:t" inset="0,0,0,15pt">
                <w:txbxContent>
                  <w:p w14:paraId="27E76AEA" w14:textId="73FD668D" w:rsidR="00B41472" w:rsidRPr="00B41472" w:rsidRDefault="00B41472" w:rsidP="00B41472">
                    <w:pPr>
                      <w:spacing w:after="0"/>
                      <w:rPr>
                        <w:rFonts w:ascii="Calibri" w:eastAsia="Calibri" w:hAnsi="Calibri"/>
                        <w:noProof/>
                        <w:color w:val="008000"/>
                        <w:sz w:val="24"/>
                      </w:rPr>
                    </w:pPr>
                    <w:r w:rsidRPr="00B41472">
                      <w:rPr>
                        <w:rFonts w:ascii="Calibri" w:eastAsia="Calibri" w:hAnsi="Calibri"/>
                        <w:noProof/>
                        <w:color w:val="008000"/>
                        <w:sz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5D6E" w14:textId="03AD496B" w:rsidR="001C2CE7" w:rsidRPr="001C2CE7" w:rsidRDefault="001C2CE7" w:rsidP="005631A7">
    <w:pPr>
      <w:pStyle w:val="Footer"/>
      <w:jc w:val="center"/>
      <w:rPr>
        <w:lang w:val="de-DE"/>
      </w:rPr>
    </w:pPr>
    <w:bookmarkStart w:id="1" w:name="_Hlk125015833"/>
    <w:bookmarkStart w:id="2" w:name="_Hlk125015834"/>
    <w:r w:rsidRPr="001C2CE7">
      <w:rPr>
        <w:color w:val="A6A6A6" w:themeColor="background1" w:themeShade="A6"/>
        <w:sz w:val="16"/>
        <w:szCs w:val="20"/>
        <w:lang w:val="de-DE"/>
      </w:rPr>
      <w:t xml:space="preserve">98-100, boulevard Konrad Adenauer L-2950 Luxembourg </w:t>
    </w:r>
    <w:r w:rsidR="005631A7">
      <w:rPr>
        <w:color w:val="A6A6A6" w:themeColor="background1" w:themeShade="A6"/>
        <w:sz w:val="16"/>
        <w:szCs w:val="20"/>
        <w:lang w:val="de-DE"/>
      </w:rPr>
      <w:t xml:space="preserve">- </w:t>
    </w:r>
    <w:r w:rsidRPr="001C2CE7">
      <w:rPr>
        <w:color w:val="A6A6A6" w:themeColor="background1" w:themeShade="A6"/>
        <w:sz w:val="16"/>
        <w:szCs w:val="20"/>
        <w:lang w:val="de-DE"/>
      </w:rPr>
      <w:t>www.eib.org/press – press@eib.org</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D3AD" w14:textId="331F3938" w:rsidR="00B41472" w:rsidRDefault="00B41472">
    <w:pPr>
      <w:pStyle w:val="Footer"/>
    </w:pPr>
    <w:r>
      <w:rPr>
        <w:noProof/>
      </w:rPr>
      <mc:AlternateContent>
        <mc:Choice Requires="wps">
          <w:drawing>
            <wp:anchor distT="0" distB="0" distL="0" distR="0" simplePos="0" relativeHeight="251659264" behindDoc="0" locked="0" layoutInCell="1" allowOverlap="1" wp14:anchorId="4FE2E971" wp14:editId="1BD943D4">
              <wp:simplePos x="635" y="635"/>
              <wp:positionH relativeFrom="page">
                <wp:align>center</wp:align>
              </wp:positionH>
              <wp:positionV relativeFrom="page">
                <wp:align>bottom</wp:align>
              </wp:positionV>
              <wp:extent cx="754380" cy="508635"/>
              <wp:effectExtent l="0" t="0" r="7620" b="0"/>
              <wp:wrapNone/>
              <wp:docPr id="1340638825" name="Cuadro de texto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4380" cy="508635"/>
                      </a:xfrm>
                      <a:prstGeom prst="rect">
                        <a:avLst/>
                      </a:prstGeom>
                      <a:noFill/>
                      <a:ln>
                        <a:noFill/>
                      </a:ln>
                    </wps:spPr>
                    <wps:txbx>
                      <w:txbxContent>
                        <w:p w14:paraId="2A94F929" w14:textId="30276340" w:rsidR="00B41472" w:rsidRPr="00B41472" w:rsidRDefault="00B41472" w:rsidP="00B41472">
                          <w:pPr>
                            <w:spacing w:after="0"/>
                            <w:rPr>
                              <w:rFonts w:ascii="Calibri" w:eastAsia="Calibri" w:hAnsi="Calibri"/>
                              <w:noProof/>
                              <w:color w:val="008000"/>
                              <w:sz w:val="24"/>
                            </w:rPr>
                          </w:pPr>
                          <w:r w:rsidRPr="00B41472">
                            <w:rPr>
                              <w:rFonts w:ascii="Calibri" w:eastAsia="Calibri" w:hAnsi="Calibri"/>
                              <w:noProof/>
                              <w:color w:val="008000"/>
                              <w:sz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E2E971" id="_x0000_t202" coordsize="21600,21600" o:spt="202" path="m,l,21600r21600,l21600,xe">
              <v:stroke joinstyle="miter"/>
              <v:path gradientshapeok="t" o:connecttype="rect"/>
            </v:shapetype>
            <v:shape id="Cuadro de texto 1" o:spid="_x0000_s1027" type="#_x0000_t202" alt="Internal Use" style="position:absolute;margin-left:0;margin-top:0;width:59.4pt;height:40.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" filled="f" stroked="f">
              <v:textbox style="mso-fit-shape-to-text:t" inset="0,0,0,15pt">
                <w:txbxContent>
                  <w:p w14:paraId="2A94F929" w14:textId="30276340" w:rsidR="00B41472" w:rsidRPr="00B41472" w:rsidRDefault="00B41472" w:rsidP="00B41472">
                    <w:pPr>
                      <w:spacing w:after="0"/>
                      <w:rPr>
                        <w:rFonts w:ascii="Calibri" w:eastAsia="Calibri" w:hAnsi="Calibri"/>
                        <w:noProof/>
                        <w:color w:val="008000"/>
                        <w:sz w:val="24"/>
                      </w:rPr>
                    </w:pPr>
                    <w:r w:rsidRPr="00B41472">
                      <w:rPr>
                        <w:rFonts w:ascii="Calibri" w:eastAsia="Calibri" w:hAnsi="Calibri"/>
                        <w:noProof/>
                        <w:color w:val="008000"/>
                        <w:sz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CB887" w14:textId="77777777" w:rsidR="00E67765" w:rsidRDefault="00E67765" w:rsidP="001C2CE7">
      <w:pPr>
        <w:spacing w:before="0" w:after="0" w:line="240" w:lineRule="auto"/>
      </w:pPr>
      <w:r>
        <w:separator/>
      </w:r>
    </w:p>
  </w:footnote>
  <w:footnote w:type="continuationSeparator" w:id="0">
    <w:p w14:paraId="615019D0" w14:textId="77777777" w:rsidR="00E67765" w:rsidRDefault="00E67765" w:rsidP="001C2C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BFF" w14:textId="27FA56B2" w:rsidR="001C2CE7" w:rsidRDefault="001C2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CAF"/>
    <w:multiLevelType w:val="multilevel"/>
    <w:tmpl w:val="102AA098"/>
    <w:styleLink w:val="LFO3"/>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33BC6220"/>
    <w:multiLevelType w:val="multilevel"/>
    <w:tmpl w:val="C2BC4940"/>
    <w:lvl w:ilvl="0">
      <w:start w:val="1"/>
      <w:numFmt w:val="bullet"/>
      <w:pStyle w:val="EIBbullets"/>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8A3362"/>
    <w:multiLevelType w:val="hybridMultilevel"/>
    <w:tmpl w:val="065AFB74"/>
    <w:lvl w:ilvl="0" w:tplc="D764D0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001758">
    <w:abstractNumId w:val="1"/>
  </w:num>
  <w:num w:numId="2" w16cid:durableId="399445885">
    <w:abstractNumId w:val="1"/>
  </w:num>
  <w:num w:numId="3" w16cid:durableId="1889221402">
    <w:abstractNumId w:val="1"/>
  </w:num>
  <w:num w:numId="4" w16cid:durableId="995567318">
    <w:abstractNumId w:val="1"/>
  </w:num>
  <w:num w:numId="5" w16cid:durableId="1417901716">
    <w:abstractNumId w:val="1"/>
  </w:num>
  <w:num w:numId="6" w16cid:durableId="795219848">
    <w:abstractNumId w:val="0"/>
  </w:num>
  <w:num w:numId="7" w16cid:durableId="2134664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E7"/>
    <w:rsid w:val="0001095B"/>
    <w:rsid w:val="00014223"/>
    <w:rsid w:val="0002699A"/>
    <w:rsid w:val="00042132"/>
    <w:rsid w:val="00047F64"/>
    <w:rsid w:val="00072652"/>
    <w:rsid w:val="000A1794"/>
    <w:rsid w:val="000A544F"/>
    <w:rsid w:val="000E6D0D"/>
    <w:rsid w:val="001017A5"/>
    <w:rsid w:val="00102C28"/>
    <w:rsid w:val="00137EB2"/>
    <w:rsid w:val="00153A7B"/>
    <w:rsid w:val="00174E1C"/>
    <w:rsid w:val="001761BE"/>
    <w:rsid w:val="00181799"/>
    <w:rsid w:val="00193714"/>
    <w:rsid w:val="001A07CB"/>
    <w:rsid w:val="001A7138"/>
    <w:rsid w:val="001A7A0A"/>
    <w:rsid w:val="001C2CE7"/>
    <w:rsid w:val="001C3552"/>
    <w:rsid w:val="001D574D"/>
    <w:rsid w:val="001F0672"/>
    <w:rsid w:val="00233F7D"/>
    <w:rsid w:val="00244380"/>
    <w:rsid w:val="00244F88"/>
    <w:rsid w:val="00246C8C"/>
    <w:rsid w:val="002544CF"/>
    <w:rsid w:val="00254574"/>
    <w:rsid w:val="0026409E"/>
    <w:rsid w:val="002D0764"/>
    <w:rsid w:val="002D4D2B"/>
    <w:rsid w:val="002D6BED"/>
    <w:rsid w:val="003031C0"/>
    <w:rsid w:val="003075D8"/>
    <w:rsid w:val="00310771"/>
    <w:rsid w:val="0032316E"/>
    <w:rsid w:val="00333F17"/>
    <w:rsid w:val="00335B5A"/>
    <w:rsid w:val="00354681"/>
    <w:rsid w:val="0036116C"/>
    <w:rsid w:val="00361CAA"/>
    <w:rsid w:val="00367138"/>
    <w:rsid w:val="00372499"/>
    <w:rsid w:val="00373265"/>
    <w:rsid w:val="00393B1C"/>
    <w:rsid w:val="003B6B63"/>
    <w:rsid w:val="003C4EB3"/>
    <w:rsid w:val="003C6CDD"/>
    <w:rsid w:val="003C6FFA"/>
    <w:rsid w:val="003D1D03"/>
    <w:rsid w:val="003D28C6"/>
    <w:rsid w:val="003E3E8E"/>
    <w:rsid w:val="003F17E0"/>
    <w:rsid w:val="00402AC3"/>
    <w:rsid w:val="004200DA"/>
    <w:rsid w:val="00423858"/>
    <w:rsid w:val="00431809"/>
    <w:rsid w:val="0043673F"/>
    <w:rsid w:val="00441C8C"/>
    <w:rsid w:val="00442383"/>
    <w:rsid w:val="0048492A"/>
    <w:rsid w:val="00487B93"/>
    <w:rsid w:val="00490273"/>
    <w:rsid w:val="00493462"/>
    <w:rsid w:val="004A08FE"/>
    <w:rsid w:val="004A0CE3"/>
    <w:rsid w:val="004C495B"/>
    <w:rsid w:val="004D0F2E"/>
    <w:rsid w:val="004D5C9F"/>
    <w:rsid w:val="004E3971"/>
    <w:rsid w:val="004F12BA"/>
    <w:rsid w:val="00510AD3"/>
    <w:rsid w:val="005329BF"/>
    <w:rsid w:val="005343A0"/>
    <w:rsid w:val="00540EF8"/>
    <w:rsid w:val="005507AD"/>
    <w:rsid w:val="0056222A"/>
    <w:rsid w:val="005631A7"/>
    <w:rsid w:val="005A5AFD"/>
    <w:rsid w:val="005A681F"/>
    <w:rsid w:val="005B16CD"/>
    <w:rsid w:val="005B6C67"/>
    <w:rsid w:val="005C0267"/>
    <w:rsid w:val="005D2B84"/>
    <w:rsid w:val="005E048F"/>
    <w:rsid w:val="005E21B5"/>
    <w:rsid w:val="005E48CA"/>
    <w:rsid w:val="00602E48"/>
    <w:rsid w:val="00613674"/>
    <w:rsid w:val="00623B2A"/>
    <w:rsid w:val="00644ED1"/>
    <w:rsid w:val="00646BFD"/>
    <w:rsid w:val="00676808"/>
    <w:rsid w:val="0068346C"/>
    <w:rsid w:val="006908BA"/>
    <w:rsid w:val="006975C5"/>
    <w:rsid w:val="006B1558"/>
    <w:rsid w:val="006B5245"/>
    <w:rsid w:val="006C32DC"/>
    <w:rsid w:val="006D3779"/>
    <w:rsid w:val="0070636E"/>
    <w:rsid w:val="00713F2A"/>
    <w:rsid w:val="00721300"/>
    <w:rsid w:val="00744653"/>
    <w:rsid w:val="00754D7C"/>
    <w:rsid w:val="007775C5"/>
    <w:rsid w:val="007778A4"/>
    <w:rsid w:val="0078373F"/>
    <w:rsid w:val="007A69FF"/>
    <w:rsid w:val="007E1B3C"/>
    <w:rsid w:val="007E5678"/>
    <w:rsid w:val="007F58F0"/>
    <w:rsid w:val="0081452B"/>
    <w:rsid w:val="008354A5"/>
    <w:rsid w:val="0083708B"/>
    <w:rsid w:val="00860A36"/>
    <w:rsid w:val="008710A2"/>
    <w:rsid w:val="00873643"/>
    <w:rsid w:val="008806F7"/>
    <w:rsid w:val="0088153B"/>
    <w:rsid w:val="008935C1"/>
    <w:rsid w:val="00896825"/>
    <w:rsid w:val="008B0010"/>
    <w:rsid w:val="008B0906"/>
    <w:rsid w:val="008C7121"/>
    <w:rsid w:val="008D2F62"/>
    <w:rsid w:val="008E0346"/>
    <w:rsid w:val="008E6535"/>
    <w:rsid w:val="008E7B29"/>
    <w:rsid w:val="008F59FF"/>
    <w:rsid w:val="00923E8A"/>
    <w:rsid w:val="00926D4F"/>
    <w:rsid w:val="00941D42"/>
    <w:rsid w:val="009505CD"/>
    <w:rsid w:val="00952BD2"/>
    <w:rsid w:val="00976E28"/>
    <w:rsid w:val="00990668"/>
    <w:rsid w:val="0099091D"/>
    <w:rsid w:val="00990E12"/>
    <w:rsid w:val="009932FE"/>
    <w:rsid w:val="009A19C2"/>
    <w:rsid w:val="009D5FA1"/>
    <w:rsid w:val="009E0C56"/>
    <w:rsid w:val="009F69E2"/>
    <w:rsid w:val="009F7951"/>
    <w:rsid w:val="00A00FD5"/>
    <w:rsid w:val="00A60FFE"/>
    <w:rsid w:val="00A6283D"/>
    <w:rsid w:val="00A86972"/>
    <w:rsid w:val="00AA0C6B"/>
    <w:rsid w:val="00AA699C"/>
    <w:rsid w:val="00AB4BA7"/>
    <w:rsid w:val="00AD14B1"/>
    <w:rsid w:val="00AF0E51"/>
    <w:rsid w:val="00B15E74"/>
    <w:rsid w:val="00B327AC"/>
    <w:rsid w:val="00B34027"/>
    <w:rsid w:val="00B41472"/>
    <w:rsid w:val="00B41E06"/>
    <w:rsid w:val="00B525CC"/>
    <w:rsid w:val="00B5755E"/>
    <w:rsid w:val="00B634FC"/>
    <w:rsid w:val="00B7171C"/>
    <w:rsid w:val="00BA6057"/>
    <w:rsid w:val="00BB4CA1"/>
    <w:rsid w:val="00BB7B0F"/>
    <w:rsid w:val="00BB7F52"/>
    <w:rsid w:val="00BC7F1F"/>
    <w:rsid w:val="00BD5373"/>
    <w:rsid w:val="00BD7A49"/>
    <w:rsid w:val="00BD7B39"/>
    <w:rsid w:val="00C00B75"/>
    <w:rsid w:val="00C00DE0"/>
    <w:rsid w:val="00C06FC3"/>
    <w:rsid w:val="00C201A5"/>
    <w:rsid w:val="00C32B83"/>
    <w:rsid w:val="00C42C5D"/>
    <w:rsid w:val="00C45DE6"/>
    <w:rsid w:val="00C47793"/>
    <w:rsid w:val="00C57EE0"/>
    <w:rsid w:val="00C83618"/>
    <w:rsid w:val="00C85835"/>
    <w:rsid w:val="00C9255B"/>
    <w:rsid w:val="00CA661A"/>
    <w:rsid w:val="00CB1591"/>
    <w:rsid w:val="00CB2172"/>
    <w:rsid w:val="00CB3AC1"/>
    <w:rsid w:val="00CC16C5"/>
    <w:rsid w:val="00CD0073"/>
    <w:rsid w:val="00CE2AA8"/>
    <w:rsid w:val="00CE65B2"/>
    <w:rsid w:val="00CF6DE1"/>
    <w:rsid w:val="00D26E9E"/>
    <w:rsid w:val="00D46FA4"/>
    <w:rsid w:val="00D61A72"/>
    <w:rsid w:val="00D6285A"/>
    <w:rsid w:val="00DA3874"/>
    <w:rsid w:val="00DB3126"/>
    <w:rsid w:val="00DD077C"/>
    <w:rsid w:val="00DD370F"/>
    <w:rsid w:val="00DD376D"/>
    <w:rsid w:val="00DE63D6"/>
    <w:rsid w:val="00DE7BED"/>
    <w:rsid w:val="00DF399D"/>
    <w:rsid w:val="00DF7267"/>
    <w:rsid w:val="00E022F2"/>
    <w:rsid w:val="00E03C80"/>
    <w:rsid w:val="00E10A23"/>
    <w:rsid w:val="00E12B51"/>
    <w:rsid w:val="00E15CCF"/>
    <w:rsid w:val="00E67765"/>
    <w:rsid w:val="00E87D6C"/>
    <w:rsid w:val="00E908AA"/>
    <w:rsid w:val="00E97CFC"/>
    <w:rsid w:val="00EA0474"/>
    <w:rsid w:val="00EB4E63"/>
    <w:rsid w:val="00EB687A"/>
    <w:rsid w:val="00EE3C6E"/>
    <w:rsid w:val="00EF1EB1"/>
    <w:rsid w:val="00F05959"/>
    <w:rsid w:val="00F167C8"/>
    <w:rsid w:val="00F23CAA"/>
    <w:rsid w:val="00F30E24"/>
    <w:rsid w:val="00F32705"/>
    <w:rsid w:val="00F33E53"/>
    <w:rsid w:val="00F37574"/>
    <w:rsid w:val="00F429DE"/>
    <w:rsid w:val="00F600EC"/>
    <w:rsid w:val="00F605F5"/>
    <w:rsid w:val="00F66321"/>
    <w:rsid w:val="00F71FBC"/>
    <w:rsid w:val="00F741A0"/>
    <w:rsid w:val="00F960A4"/>
    <w:rsid w:val="00F97087"/>
    <w:rsid w:val="00FB5073"/>
    <w:rsid w:val="00FC3296"/>
    <w:rsid w:val="00FD21A2"/>
    <w:rsid w:val="00FD7373"/>
    <w:rsid w:val="00FE4FA8"/>
    <w:rsid w:val="00FE5A90"/>
    <w:rsid w:val="00FF3C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4461"/>
  <w15:chartTrackingRefBased/>
  <w15:docId w15:val="{CC6FEA3C-732F-4D79-AFBD-743D3BAA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75"/>
    <w:pPr>
      <w:spacing w:before="120" w:after="120" w:line="312" w:lineRule="auto"/>
    </w:pPr>
    <w:rPr>
      <w:rFonts w:ascii="Arial" w:eastAsiaTheme="minorHAnsi" w:hAnsi="Arial" w:cs="Calibri"/>
      <w:color w:val="000000" w:themeColor="text1"/>
      <w:szCs w:val="24"/>
      <w:lang w:val="en-US"/>
    </w:rPr>
  </w:style>
  <w:style w:type="paragraph" w:styleId="Heading1">
    <w:name w:val="heading 1"/>
    <w:basedOn w:val="Normal"/>
    <w:next w:val="Normal"/>
    <w:link w:val="Heading1Char"/>
    <w:uiPriority w:val="9"/>
    <w:qFormat/>
    <w:rsid w:val="00F605F5"/>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B">
    <w:name w:val="EIB"/>
    <w:basedOn w:val="Normal"/>
    <w:link w:val="EIBChar"/>
    <w:autoRedefine/>
    <w:qFormat/>
    <w:rsid w:val="00676808"/>
    <w:pPr>
      <w:shd w:val="clear" w:color="auto" w:fill="FFFFFF"/>
      <w:spacing w:before="0" w:after="0" w:line="240" w:lineRule="auto"/>
      <w:jc w:val="both"/>
    </w:pPr>
    <w:rPr>
      <w:rFonts w:eastAsia="Times New Roman" w:cs="Arial"/>
      <w:color w:val="000000"/>
      <w:szCs w:val="21"/>
      <w:lang w:val="en-GB" w:eastAsia="en-GB"/>
    </w:rPr>
  </w:style>
  <w:style w:type="character" w:customStyle="1" w:styleId="EIBChar">
    <w:name w:val="EIB Char"/>
    <w:basedOn w:val="DefaultParagraphFont"/>
    <w:link w:val="EIB"/>
    <w:rsid w:val="00676808"/>
    <w:rPr>
      <w:rFonts w:ascii="Arial" w:eastAsia="Times New Roman" w:hAnsi="Arial" w:cs="Arial"/>
      <w:color w:val="000000"/>
      <w:szCs w:val="21"/>
      <w:shd w:val="clear" w:color="auto" w:fill="FFFFFF"/>
      <w:lang w:eastAsia="en-GB"/>
    </w:rPr>
  </w:style>
  <w:style w:type="paragraph" w:customStyle="1" w:styleId="EIBTitle">
    <w:name w:val="EIB Title"/>
    <w:basedOn w:val="Normal"/>
    <w:link w:val="EIBTitleChar"/>
    <w:qFormat/>
    <w:rsid w:val="00676808"/>
    <w:pPr>
      <w:spacing w:before="0" w:after="0" w:line="240" w:lineRule="auto"/>
      <w:jc w:val="both"/>
    </w:pPr>
    <w:rPr>
      <w:rFonts w:eastAsia="Times New Roman" w:cs="Arial"/>
      <w:b/>
      <w:bCs/>
      <w:color w:val="auto"/>
      <w:sz w:val="24"/>
      <w:szCs w:val="20"/>
      <w:lang w:val="en-GB"/>
    </w:rPr>
  </w:style>
  <w:style w:type="character" w:customStyle="1" w:styleId="EIBTitleChar">
    <w:name w:val="EIB Title Char"/>
    <w:basedOn w:val="DefaultParagraphFont"/>
    <w:link w:val="EIBTitle"/>
    <w:rsid w:val="00676808"/>
    <w:rPr>
      <w:rFonts w:ascii="Arial" w:eastAsia="Times New Roman" w:hAnsi="Arial" w:cs="Arial"/>
      <w:b/>
      <w:bCs/>
      <w:sz w:val="24"/>
    </w:rPr>
  </w:style>
  <w:style w:type="paragraph" w:customStyle="1" w:styleId="EIBbullets">
    <w:name w:val="EIB bullets"/>
    <w:basedOn w:val="Normal"/>
    <w:link w:val="EIBbulletsChar"/>
    <w:qFormat/>
    <w:rsid w:val="00676808"/>
    <w:pPr>
      <w:numPr>
        <w:numId w:val="3"/>
      </w:numPr>
      <w:spacing w:before="0" w:after="0" w:line="240" w:lineRule="auto"/>
      <w:jc w:val="both"/>
    </w:pPr>
    <w:rPr>
      <w:rFonts w:eastAsia="Times New Roman" w:cs="Arial"/>
      <w:b/>
      <w:color w:val="000000"/>
      <w:sz w:val="21"/>
      <w:szCs w:val="21"/>
    </w:rPr>
  </w:style>
  <w:style w:type="character" w:customStyle="1" w:styleId="EIBbulletsChar">
    <w:name w:val="EIB bullets Char"/>
    <w:basedOn w:val="DefaultParagraphFont"/>
    <w:link w:val="EIBbullets"/>
    <w:rsid w:val="00676808"/>
    <w:rPr>
      <w:rFonts w:ascii="Arial" w:eastAsia="Times New Roman" w:hAnsi="Arial" w:cs="Arial"/>
      <w:b/>
      <w:color w:val="000000"/>
      <w:sz w:val="21"/>
      <w:szCs w:val="21"/>
      <w:lang w:val="en-US"/>
    </w:rPr>
  </w:style>
  <w:style w:type="paragraph" w:customStyle="1" w:styleId="EIBBackgroundContacts">
    <w:name w:val="EIB Background+Contacts"/>
    <w:basedOn w:val="Normal"/>
    <w:link w:val="EIBBackgroundContactsChar"/>
    <w:qFormat/>
    <w:rsid w:val="00676808"/>
    <w:pPr>
      <w:spacing w:before="0" w:after="0" w:line="240" w:lineRule="auto"/>
      <w:jc w:val="both"/>
    </w:pPr>
    <w:rPr>
      <w:rFonts w:eastAsia="Times New Roman" w:cs="Arial"/>
      <w:b/>
      <w:color w:val="000000"/>
      <w:sz w:val="22"/>
      <w:szCs w:val="22"/>
      <w:lang w:val="en-GB"/>
    </w:rPr>
  </w:style>
  <w:style w:type="character" w:customStyle="1" w:styleId="EIBBackgroundContactsChar">
    <w:name w:val="EIB Background+Contacts Char"/>
    <w:basedOn w:val="DefaultParagraphFont"/>
    <w:link w:val="EIBBackgroundContacts"/>
    <w:rsid w:val="00676808"/>
    <w:rPr>
      <w:rFonts w:ascii="Arial" w:eastAsia="Times New Roman" w:hAnsi="Arial" w:cs="Arial"/>
      <w:b/>
      <w:color w:val="000000"/>
      <w:sz w:val="22"/>
      <w:szCs w:val="22"/>
    </w:rPr>
  </w:style>
  <w:style w:type="character" w:customStyle="1" w:styleId="Heading1Char">
    <w:name w:val="Heading 1 Char"/>
    <w:basedOn w:val="DefaultParagraphFont"/>
    <w:link w:val="Heading1"/>
    <w:uiPriority w:val="9"/>
    <w:rsid w:val="00F605F5"/>
    <w:rPr>
      <w:rFonts w:asciiTheme="majorHAnsi" w:eastAsiaTheme="majorEastAsia" w:hAnsiTheme="majorHAnsi" w:cstheme="majorBidi"/>
      <w:color w:val="365F91" w:themeColor="accent1" w:themeShade="BF"/>
      <w:sz w:val="32"/>
      <w:szCs w:val="32"/>
      <w:lang w:val="fr-BE"/>
    </w:rPr>
  </w:style>
  <w:style w:type="character" w:styleId="Strong">
    <w:name w:val="Strong"/>
    <w:qFormat/>
    <w:rsid w:val="00F605F5"/>
    <w:rPr>
      <w:b/>
      <w:bCs/>
    </w:rPr>
  </w:style>
  <w:style w:type="paragraph" w:styleId="ListParagraph">
    <w:name w:val="List Paragraph"/>
    <w:aliases w:val="Numbered Paragraph,# pharagraph,123 List Paragraph,Main numbered paragraph,References,Numbered List Paragraph,Bullets,List Paragraph (numbered (a)),List Paragraph nowy,Liste 1,List_Paragraph,Multilevel para_II,List Paragraph1"/>
    <w:basedOn w:val="Normal"/>
    <w:link w:val="ListParagraphChar"/>
    <w:uiPriority w:val="34"/>
    <w:qFormat/>
    <w:rsid w:val="00F605F5"/>
    <w:pPr>
      <w:spacing w:after="200" w:line="276" w:lineRule="auto"/>
      <w:ind w:left="720"/>
      <w:contextualSpacing/>
    </w:pPr>
    <w:rPr>
      <w:rFonts w:cs="Arial"/>
      <w:lang w:eastAsia="en-GB"/>
    </w:rPr>
  </w:style>
  <w:style w:type="character" w:customStyle="1" w:styleId="ListParagraphChar">
    <w:name w:val="List Paragraph Char"/>
    <w:aliases w:val="Numbered Paragraph Char,# pharagraph Char,123 List Paragraph Char,Main numbered paragraph Char,References Char,Numbered List Paragraph Char,Bullets Char,List Paragraph (numbered (a)) Char,List Paragraph nowy Char,Liste 1 Char"/>
    <w:link w:val="ListParagraph"/>
    <w:uiPriority w:val="34"/>
    <w:qFormat/>
    <w:locked/>
    <w:rsid w:val="00F605F5"/>
    <w:rPr>
      <w:rFonts w:ascii="Arial" w:hAnsi="Arial" w:cs="Arial"/>
      <w:lang w:eastAsia="en-GB"/>
    </w:rPr>
  </w:style>
  <w:style w:type="table" w:styleId="TableGrid">
    <w:name w:val="Table Grid"/>
    <w:basedOn w:val="TableNormal"/>
    <w:uiPriority w:val="59"/>
    <w:rsid w:val="001C2CE7"/>
    <w:pPr>
      <w:spacing w:line="312" w:lineRule="auto"/>
    </w:pPr>
    <w:rPr>
      <w:rFonts w:asciiTheme="minorHAnsi" w:eastAsiaTheme="minorHAnsi" w:hAnsiTheme="minorHAnsi" w:cstheme="minorBidi"/>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C2CE7"/>
    <w:pPr>
      <w:spacing w:before="360"/>
      <w:jc w:val="right"/>
    </w:pPr>
    <w:rPr>
      <w:b/>
      <w:color w:val="1F497D" w:themeColor="text2"/>
      <w:sz w:val="36"/>
      <w:szCs w:val="36"/>
    </w:rPr>
  </w:style>
  <w:style w:type="paragraph" w:styleId="Header">
    <w:name w:val="header"/>
    <w:basedOn w:val="Normal"/>
    <w:link w:val="HeaderChar"/>
    <w:uiPriority w:val="99"/>
    <w:unhideWhenUsed/>
    <w:rsid w:val="001C2C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CE7"/>
    <w:rPr>
      <w:rFonts w:ascii="Arial" w:eastAsiaTheme="minorHAnsi" w:hAnsi="Arial" w:cs="Calibri"/>
      <w:color w:val="000000" w:themeColor="text1"/>
      <w:szCs w:val="24"/>
      <w:lang w:val="en-US"/>
    </w:rPr>
  </w:style>
  <w:style w:type="paragraph" w:styleId="Footer">
    <w:name w:val="footer"/>
    <w:basedOn w:val="Normal"/>
    <w:link w:val="FooterChar"/>
    <w:uiPriority w:val="99"/>
    <w:unhideWhenUsed/>
    <w:rsid w:val="001C2C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CE7"/>
    <w:rPr>
      <w:rFonts w:ascii="Arial" w:eastAsiaTheme="minorHAnsi" w:hAnsi="Arial" w:cs="Calibri"/>
      <w:color w:val="000000" w:themeColor="text1"/>
      <w:szCs w:val="24"/>
      <w:lang w:val="en-US"/>
    </w:rPr>
  </w:style>
  <w:style w:type="character" w:styleId="Hyperlink">
    <w:name w:val="Hyperlink"/>
    <w:basedOn w:val="DefaultParagraphFont"/>
    <w:uiPriority w:val="99"/>
    <w:unhideWhenUsed/>
    <w:rsid w:val="00676808"/>
    <w:rPr>
      <w:color w:val="1F497D" w:themeColor="text2"/>
      <w:sz w:val="20"/>
      <w:u w:val="single"/>
    </w:rPr>
  </w:style>
  <w:style w:type="paragraph" w:styleId="NormalWeb">
    <w:name w:val="Normal (Web)"/>
    <w:basedOn w:val="Normal"/>
    <w:uiPriority w:val="99"/>
    <w:unhideWhenUsed/>
    <w:rsid w:val="00676808"/>
    <w:rPr>
      <w:rFonts w:ascii="Times New Roman" w:hAnsi="Times New Roman" w:cs="Times New Roman"/>
    </w:rPr>
  </w:style>
  <w:style w:type="paragraph" w:customStyle="1" w:styleId="Default">
    <w:name w:val="Default"/>
    <w:rsid w:val="00676808"/>
    <w:pPr>
      <w:autoSpaceDE w:val="0"/>
      <w:autoSpaceDN w:val="0"/>
      <w:adjustRightInd w:val="0"/>
    </w:pPr>
    <w:rPr>
      <w:rFonts w:ascii="Myriad Pro" w:eastAsiaTheme="minorHAnsi" w:hAnsi="Myriad Pro" w:cs="Myriad Pro"/>
      <w:color w:val="000000"/>
      <w:sz w:val="24"/>
      <w:szCs w:val="24"/>
    </w:rPr>
  </w:style>
  <w:style w:type="character" w:styleId="UnresolvedMention">
    <w:name w:val="Unresolved Mention"/>
    <w:basedOn w:val="DefaultParagraphFont"/>
    <w:uiPriority w:val="99"/>
    <w:semiHidden/>
    <w:unhideWhenUsed/>
    <w:rsid w:val="00676808"/>
    <w:rPr>
      <w:color w:val="605E5C"/>
      <w:shd w:val="clear" w:color="auto" w:fill="E1DFDD"/>
    </w:rPr>
  </w:style>
  <w:style w:type="character" w:customStyle="1" w:styleId="EIBtitleChar0">
    <w:name w:val="EIB title Char"/>
    <w:basedOn w:val="DefaultParagraphFont"/>
    <w:link w:val="EIBtitle0"/>
    <w:locked/>
    <w:rsid w:val="00C00B75"/>
    <w:rPr>
      <w:rFonts w:ascii="Arial" w:eastAsia="Times New Roman" w:hAnsi="Arial" w:cs="Arial"/>
      <w:b/>
      <w:bCs/>
      <w:sz w:val="28"/>
      <w:lang w:val="fr-BE"/>
    </w:rPr>
  </w:style>
  <w:style w:type="paragraph" w:customStyle="1" w:styleId="EIBtitle0">
    <w:name w:val="EIB title"/>
    <w:basedOn w:val="Normal"/>
    <w:link w:val="EIBtitleChar0"/>
    <w:qFormat/>
    <w:rsid w:val="00C00B75"/>
    <w:pPr>
      <w:spacing w:before="0" w:after="0" w:line="240" w:lineRule="auto"/>
    </w:pPr>
    <w:rPr>
      <w:rFonts w:eastAsia="Times New Roman" w:cs="Arial"/>
      <w:b/>
      <w:bCs/>
      <w:color w:val="auto"/>
      <w:sz w:val="28"/>
      <w:szCs w:val="20"/>
      <w:lang w:val="fr-BE"/>
    </w:rPr>
  </w:style>
  <w:style w:type="paragraph" w:styleId="Revision">
    <w:name w:val="Revision"/>
    <w:hidden/>
    <w:uiPriority w:val="99"/>
    <w:semiHidden/>
    <w:rsid w:val="00CD0073"/>
    <w:rPr>
      <w:rFonts w:ascii="Arial" w:eastAsiaTheme="minorHAnsi" w:hAnsi="Arial" w:cs="Calibri"/>
      <w:color w:val="000000" w:themeColor="text1"/>
      <w:szCs w:val="24"/>
      <w:lang w:val="en-US"/>
    </w:rPr>
  </w:style>
  <w:style w:type="character" w:styleId="CommentReference">
    <w:name w:val="annotation reference"/>
    <w:basedOn w:val="DefaultParagraphFont"/>
    <w:uiPriority w:val="99"/>
    <w:semiHidden/>
    <w:unhideWhenUsed/>
    <w:rsid w:val="005A5AFD"/>
    <w:rPr>
      <w:sz w:val="16"/>
      <w:szCs w:val="16"/>
    </w:rPr>
  </w:style>
  <w:style w:type="paragraph" w:styleId="CommentText">
    <w:name w:val="annotation text"/>
    <w:basedOn w:val="Normal"/>
    <w:link w:val="CommentTextChar"/>
    <w:uiPriority w:val="99"/>
    <w:unhideWhenUsed/>
    <w:rsid w:val="005A5AFD"/>
    <w:pPr>
      <w:spacing w:line="240" w:lineRule="auto"/>
    </w:pPr>
    <w:rPr>
      <w:szCs w:val="20"/>
    </w:rPr>
  </w:style>
  <w:style w:type="character" w:customStyle="1" w:styleId="CommentTextChar">
    <w:name w:val="Comment Text Char"/>
    <w:basedOn w:val="DefaultParagraphFont"/>
    <w:link w:val="CommentText"/>
    <w:uiPriority w:val="99"/>
    <w:rsid w:val="005A5AFD"/>
    <w:rPr>
      <w:rFonts w:ascii="Arial" w:eastAsiaTheme="minorHAnsi" w:hAnsi="Arial" w:cs="Calibri"/>
      <w:color w:val="000000" w:themeColor="text1"/>
      <w:lang w:val="en-US"/>
    </w:rPr>
  </w:style>
  <w:style w:type="paragraph" w:styleId="CommentSubject">
    <w:name w:val="annotation subject"/>
    <w:basedOn w:val="CommentText"/>
    <w:next w:val="CommentText"/>
    <w:link w:val="CommentSubjectChar"/>
    <w:uiPriority w:val="99"/>
    <w:semiHidden/>
    <w:unhideWhenUsed/>
    <w:rsid w:val="005A5AFD"/>
    <w:rPr>
      <w:b/>
      <w:bCs/>
    </w:rPr>
  </w:style>
  <w:style w:type="character" w:customStyle="1" w:styleId="CommentSubjectChar">
    <w:name w:val="Comment Subject Char"/>
    <w:basedOn w:val="CommentTextChar"/>
    <w:link w:val="CommentSubject"/>
    <w:uiPriority w:val="99"/>
    <w:semiHidden/>
    <w:rsid w:val="005A5AFD"/>
    <w:rPr>
      <w:rFonts w:ascii="Arial" w:eastAsiaTheme="minorHAnsi" w:hAnsi="Arial" w:cs="Calibri"/>
      <w:b/>
      <w:bCs/>
      <w:color w:val="000000" w:themeColor="text1"/>
      <w:lang w:val="en-US"/>
    </w:rPr>
  </w:style>
  <w:style w:type="numbering" w:customStyle="1" w:styleId="LFO3">
    <w:name w:val="LFO3"/>
    <w:basedOn w:val="NoList"/>
    <w:rsid w:val="0037249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2469">
      <w:bodyDiv w:val="1"/>
      <w:marLeft w:val="0"/>
      <w:marRight w:val="0"/>
      <w:marTop w:val="0"/>
      <w:marBottom w:val="0"/>
      <w:divBdr>
        <w:top w:val="none" w:sz="0" w:space="0" w:color="auto"/>
        <w:left w:val="none" w:sz="0" w:space="0" w:color="auto"/>
        <w:bottom w:val="none" w:sz="0" w:space="0" w:color="auto"/>
        <w:right w:val="none" w:sz="0" w:space="0" w:color="auto"/>
      </w:divBdr>
    </w:div>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816536423">
      <w:bodyDiv w:val="1"/>
      <w:marLeft w:val="0"/>
      <w:marRight w:val="0"/>
      <w:marTop w:val="0"/>
      <w:marBottom w:val="0"/>
      <w:divBdr>
        <w:top w:val="none" w:sz="0" w:space="0" w:color="auto"/>
        <w:left w:val="none" w:sz="0" w:space="0" w:color="auto"/>
        <w:bottom w:val="none" w:sz="0" w:space="0" w:color="auto"/>
        <w:right w:val="none" w:sz="0" w:space="0" w:color="auto"/>
      </w:divBdr>
    </w:div>
    <w:div w:id="899051560">
      <w:bodyDiv w:val="1"/>
      <w:marLeft w:val="0"/>
      <w:marRight w:val="0"/>
      <w:marTop w:val="0"/>
      <w:marBottom w:val="0"/>
      <w:divBdr>
        <w:top w:val="none" w:sz="0" w:space="0" w:color="auto"/>
        <w:left w:val="none" w:sz="0" w:space="0" w:color="auto"/>
        <w:bottom w:val="none" w:sz="0" w:space="0" w:color="auto"/>
        <w:right w:val="none" w:sz="0" w:space="0" w:color="auto"/>
      </w:divBdr>
    </w:div>
    <w:div w:id="966744152">
      <w:bodyDiv w:val="1"/>
      <w:marLeft w:val="0"/>
      <w:marRight w:val="0"/>
      <w:marTop w:val="0"/>
      <w:marBottom w:val="0"/>
      <w:divBdr>
        <w:top w:val="none" w:sz="0" w:space="0" w:color="auto"/>
        <w:left w:val="none" w:sz="0" w:space="0" w:color="auto"/>
        <w:bottom w:val="none" w:sz="0" w:space="0" w:color="auto"/>
        <w:right w:val="none" w:sz="0" w:space="0" w:color="auto"/>
      </w:divBdr>
      <w:divsChild>
        <w:div w:id="694158197">
          <w:marLeft w:val="0"/>
          <w:marRight w:val="0"/>
          <w:marTop w:val="0"/>
          <w:marBottom w:val="0"/>
          <w:divBdr>
            <w:top w:val="none" w:sz="0" w:space="0" w:color="auto"/>
            <w:left w:val="none" w:sz="0" w:space="0" w:color="auto"/>
            <w:bottom w:val="none" w:sz="0" w:space="0" w:color="auto"/>
            <w:right w:val="none" w:sz="0" w:space="0" w:color="auto"/>
          </w:divBdr>
        </w:div>
        <w:div w:id="449016853">
          <w:marLeft w:val="0"/>
          <w:marRight w:val="0"/>
          <w:marTop w:val="0"/>
          <w:marBottom w:val="0"/>
          <w:divBdr>
            <w:top w:val="none" w:sz="0" w:space="0" w:color="auto"/>
            <w:left w:val="none" w:sz="0" w:space="0" w:color="auto"/>
            <w:bottom w:val="none" w:sz="0" w:space="0" w:color="auto"/>
            <w:right w:val="none" w:sz="0" w:space="0" w:color="auto"/>
          </w:divBdr>
        </w:div>
        <w:div w:id="1872838029">
          <w:marLeft w:val="0"/>
          <w:marRight w:val="0"/>
          <w:marTop w:val="0"/>
          <w:marBottom w:val="0"/>
          <w:divBdr>
            <w:top w:val="none" w:sz="0" w:space="0" w:color="auto"/>
            <w:left w:val="none" w:sz="0" w:space="0" w:color="auto"/>
            <w:bottom w:val="none" w:sz="0" w:space="0" w:color="auto"/>
            <w:right w:val="none" w:sz="0" w:space="0" w:color="auto"/>
          </w:divBdr>
        </w:div>
        <w:div w:id="1800997221">
          <w:marLeft w:val="0"/>
          <w:marRight w:val="0"/>
          <w:marTop w:val="0"/>
          <w:marBottom w:val="0"/>
          <w:divBdr>
            <w:top w:val="none" w:sz="0" w:space="0" w:color="auto"/>
            <w:left w:val="none" w:sz="0" w:space="0" w:color="auto"/>
            <w:bottom w:val="none" w:sz="0" w:space="0" w:color="auto"/>
            <w:right w:val="none" w:sz="0" w:space="0" w:color="auto"/>
          </w:divBdr>
        </w:div>
        <w:div w:id="1630471066">
          <w:marLeft w:val="0"/>
          <w:marRight w:val="0"/>
          <w:marTop w:val="0"/>
          <w:marBottom w:val="0"/>
          <w:divBdr>
            <w:top w:val="none" w:sz="0" w:space="0" w:color="auto"/>
            <w:left w:val="none" w:sz="0" w:space="0" w:color="auto"/>
            <w:bottom w:val="none" w:sz="0" w:space="0" w:color="auto"/>
            <w:right w:val="none" w:sz="0" w:space="0" w:color="auto"/>
          </w:divBdr>
        </w:div>
      </w:divsChild>
    </w:div>
    <w:div w:id="1288587864">
      <w:bodyDiv w:val="1"/>
      <w:marLeft w:val="0"/>
      <w:marRight w:val="0"/>
      <w:marTop w:val="0"/>
      <w:marBottom w:val="0"/>
      <w:divBdr>
        <w:top w:val="none" w:sz="0" w:space="0" w:color="auto"/>
        <w:left w:val="none" w:sz="0" w:space="0" w:color="auto"/>
        <w:bottom w:val="none" w:sz="0" w:space="0" w:color="auto"/>
        <w:right w:val="none" w:sz="0" w:space="0" w:color="auto"/>
      </w:divBdr>
    </w:div>
    <w:div w:id="1628657997">
      <w:bodyDiv w:val="1"/>
      <w:marLeft w:val="0"/>
      <w:marRight w:val="0"/>
      <w:marTop w:val="0"/>
      <w:marBottom w:val="0"/>
      <w:divBdr>
        <w:top w:val="none" w:sz="0" w:space="0" w:color="auto"/>
        <w:left w:val="none" w:sz="0" w:space="0" w:color="auto"/>
        <w:bottom w:val="none" w:sz="0" w:space="0" w:color="auto"/>
        <w:right w:val="none" w:sz="0" w:space="0" w:color="auto"/>
      </w:divBdr>
    </w:div>
    <w:div w:id="1639605611">
      <w:bodyDiv w:val="1"/>
      <w:marLeft w:val="0"/>
      <w:marRight w:val="0"/>
      <w:marTop w:val="0"/>
      <w:marBottom w:val="0"/>
      <w:divBdr>
        <w:top w:val="none" w:sz="0" w:space="0" w:color="auto"/>
        <w:left w:val="none" w:sz="0" w:space="0" w:color="auto"/>
        <w:bottom w:val="none" w:sz="0" w:space="0" w:color="auto"/>
        <w:right w:val="none" w:sz="0" w:space="0" w:color="auto"/>
      </w:divBdr>
      <w:divsChild>
        <w:div w:id="1805925059">
          <w:marLeft w:val="0"/>
          <w:marRight w:val="0"/>
          <w:marTop w:val="0"/>
          <w:marBottom w:val="0"/>
          <w:divBdr>
            <w:top w:val="none" w:sz="0" w:space="0" w:color="auto"/>
            <w:left w:val="none" w:sz="0" w:space="0" w:color="auto"/>
            <w:bottom w:val="none" w:sz="0" w:space="0" w:color="auto"/>
            <w:right w:val="none" w:sz="0" w:space="0" w:color="auto"/>
          </w:divBdr>
        </w:div>
        <w:div w:id="1771007531">
          <w:marLeft w:val="0"/>
          <w:marRight w:val="0"/>
          <w:marTop w:val="0"/>
          <w:marBottom w:val="0"/>
          <w:divBdr>
            <w:top w:val="none" w:sz="0" w:space="0" w:color="auto"/>
            <w:left w:val="none" w:sz="0" w:space="0" w:color="auto"/>
            <w:bottom w:val="none" w:sz="0" w:space="0" w:color="auto"/>
            <w:right w:val="none" w:sz="0" w:space="0" w:color="auto"/>
          </w:divBdr>
        </w:div>
        <w:div w:id="377052767">
          <w:marLeft w:val="0"/>
          <w:marRight w:val="0"/>
          <w:marTop w:val="0"/>
          <w:marBottom w:val="0"/>
          <w:divBdr>
            <w:top w:val="none" w:sz="0" w:space="0" w:color="auto"/>
            <w:left w:val="none" w:sz="0" w:space="0" w:color="auto"/>
            <w:bottom w:val="none" w:sz="0" w:space="0" w:color="auto"/>
            <w:right w:val="none" w:sz="0" w:space="0" w:color="auto"/>
          </w:divBdr>
        </w:div>
        <w:div w:id="89010840">
          <w:marLeft w:val="0"/>
          <w:marRight w:val="0"/>
          <w:marTop w:val="0"/>
          <w:marBottom w:val="0"/>
          <w:divBdr>
            <w:top w:val="none" w:sz="0" w:space="0" w:color="auto"/>
            <w:left w:val="none" w:sz="0" w:space="0" w:color="auto"/>
            <w:bottom w:val="none" w:sz="0" w:space="0" w:color="auto"/>
            <w:right w:val="none" w:sz="0" w:space="0" w:color="auto"/>
          </w:divBdr>
        </w:div>
        <w:div w:id="248317178">
          <w:marLeft w:val="0"/>
          <w:marRight w:val="0"/>
          <w:marTop w:val="0"/>
          <w:marBottom w:val="0"/>
          <w:divBdr>
            <w:top w:val="none" w:sz="0" w:space="0" w:color="auto"/>
            <w:left w:val="none" w:sz="0" w:space="0" w:color="auto"/>
            <w:bottom w:val="none" w:sz="0" w:space="0" w:color="auto"/>
            <w:right w:val="none" w:sz="0" w:space="0" w:color="auto"/>
          </w:divBdr>
        </w:div>
      </w:divsChild>
    </w:div>
    <w:div w:id="16542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en/projects/topics/innovation-digital-and-human-capital/techeu/index" TargetMode="External"/><Relationship Id="rId18" Type="http://schemas.openxmlformats.org/officeDocument/2006/relationships/hyperlink" Target="https://www.eib.org/en/about/at-a-glance/eib-core-strategic-priorities" TargetMode="External"/><Relationship Id="rId26" Type="http://schemas.openxmlformats.org/officeDocument/2006/relationships/hyperlink" Target="mailto:press@eib.org" TargetMode="External"/><Relationship Id="rId39" Type="http://schemas.openxmlformats.org/officeDocument/2006/relationships/hyperlink" Target="http://www.facebook.com/EuropeanInvestmentBank" TargetMode="External"/><Relationship Id="rId21" Type="http://schemas.openxmlformats.org/officeDocument/2006/relationships/hyperlink" Target="https://www.eib.org/en/about/key-figures/index" TargetMode="External"/><Relationship Id="rId34" Type="http://schemas.openxmlformats.org/officeDocument/2006/relationships/image" Target="media/image6.gif"/><Relationship Id="rId42" Type="http://schemas.openxmlformats.org/officeDocument/2006/relationships/hyperlink" Target="https://x.com/EIB" TargetMode="External"/><Relationship Id="rId47" Type="http://schemas.openxmlformats.org/officeDocument/2006/relationships/hyperlink" Target="http://www.eib.org/infocentre/rss/index.htm" TargetMode="External"/><Relationship Id="rId50" Type="http://schemas.openxmlformats.org/officeDocument/2006/relationships/hyperlink" Target="mailto:comunicacioncorporativa@iberdrola.es" TargetMode="External"/><Relationship Id="rId55"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ib.org/en/projects/sectors/energy/repowereu" TargetMode="External"/><Relationship Id="rId29" Type="http://schemas.openxmlformats.org/officeDocument/2006/relationships/image" Target="cid:image007.png@01D4A773.FF9D17F0" TargetMode="External"/><Relationship Id="rId11" Type="http://schemas.openxmlformats.org/officeDocument/2006/relationships/image" Target="media/image2.jpeg"/><Relationship Id="rId24" Type="http://schemas.openxmlformats.org/officeDocument/2006/relationships/hyperlink" Target="mailto:m.corderomunoz@eib.org" TargetMode="External"/><Relationship Id="rId32" Type="http://schemas.openxmlformats.org/officeDocument/2006/relationships/image" Target="cid:image004.png@01D4A773.FF9D17F0" TargetMode="External"/><Relationship Id="rId37" Type="http://schemas.openxmlformats.org/officeDocument/2006/relationships/hyperlink" Target="https://whatsapp.com/channel/0029VaAMHR12kNFwddDgU20r" TargetMode="External"/><Relationship Id="rId40" Type="http://schemas.openxmlformats.org/officeDocument/2006/relationships/image" Target="media/image9.gif"/><Relationship Id="rId45" Type="http://schemas.openxmlformats.org/officeDocument/2006/relationships/image" Target="media/image11.gif"/><Relationship Id="rId53"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s://www.eib.org/en/about/at-a-glance/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ib.org/en/publications/20240198-eib-group-2024-2027-strategic-roadmap" TargetMode="External"/><Relationship Id="rId22" Type="http://schemas.openxmlformats.org/officeDocument/2006/relationships/hyperlink" Target="https://www.eib.org/en/media-centre/photos/our-buildings" TargetMode="External"/><Relationship Id="rId27" Type="http://schemas.openxmlformats.org/officeDocument/2006/relationships/hyperlink" Target="http://www.linkedin.com/company/9360" TargetMode="External"/><Relationship Id="rId30" Type="http://schemas.openxmlformats.org/officeDocument/2006/relationships/hyperlink" Target="https://www.instagram.com/europeaninvestmentbank/" TargetMode="External"/><Relationship Id="rId35" Type="http://schemas.openxmlformats.org/officeDocument/2006/relationships/hyperlink" Target="https://www.threads.net/@europeaninvestmentbank" TargetMode="External"/><Relationship Id="rId43" Type="http://schemas.openxmlformats.org/officeDocument/2006/relationships/image" Target="media/image10.gif"/><Relationship Id="rId48" Type="http://schemas.openxmlformats.org/officeDocument/2006/relationships/image" Target="media/image12.gif"/><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mailto:angeles.sancho@cesce.es"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ec.europa.eu/commission/presscorner/detail/en/IP_22_3131" TargetMode="External"/><Relationship Id="rId25" Type="http://schemas.openxmlformats.org/officeDocument/2006/relationships/hyperlink" Target="http://www.eib.org/press" TargetMode="External"/><Relationship Id="rId33" Type="http://schemas.openxmlformats.org/officeDocument/2006/relationships/hyperlink" Target="https://bsky.app/profile/eib.org" TargetMode="External"/><Relationship Id="rId38" Type="http://schemas.openxmlformats.org/officeDocument/2006/relationships/image" Target="media/image8.gif"/><Relationship Id="rId46" Type="http://schemas.openxmlformats.org/officeDocument/2006/relationships/image" Target="cid:image005.png@01D4A773.FF9D17F0" TargetMode="External"/><Relationship Id="rId20" Type="http://schemas.openxmlformats.org/officeDocument/2006/relationships/hyperlink" Target="https://www.eif.org/index" TargetMode="External"/><Relationship Id="rId41" Type="http://schemas.openxmlformats.org/officeDocument/2006/relationships/image" Target="cid:image003.png@01D4A773.FF9D17F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ib.org/en/publications/20250240-eib-group-climate-bank-roadmap-phase-2-2026-2030" TargetMode="External"/><Relationship Id="rId23" Type="http://schemas.openxmlformats.org/officeDocument/2006/relationships/hyperlink" Target="mailto:r.willis@eib.org" TargetMode="External"/><Relationship Id="rId28" Type="http://schemas.openxmlformats.org/officeDocument/2006/relationships/image" Target="media/image4.gif"/><Relationship Id="rId36" Type="http://schemas.openxmlformats.org/officeDocument/2006/relationships/image" Target="media/image7.gif"/><Relationship Id="rId49" Type="http://schemas.openxmlformats.org/officeDocument/2006/relationships/image" Target="cid:image006.png@01D4A773.FF9D17F0" TargetMode="External"/><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image" Target="media/image5.gif"/><Relationship Id="rId44" Type="http://schemas.openxmlformats.org/officeDocument/2006/relationships/hyperlink" Target="https://www.youtube.com/user/EIBtheEUbank"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b71760-5bf0-43fa-bbd3-92495903ff24" xsi:nil="true"/>
    <lcf76f155ced4ddcb4097134ff3c332f xmlns="b88a794c-53af-46f8-bf42-80b7c5c5d17a">
      <Terms xmlns="http://schemas.microsoft.com/office/infopath/2007/PartnerControls"/>
    </lcf76f155ced4ddcb4097134ff3c332f>
    <Priority xmlns="b88a794c-53af-46f8-bf42-80b7c5c5d1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6236739B56194F8ED8CDA6118C2021" ma:contentTypeVersion="28" ma:contentTypeDescription="Create a new document." ma:contentTypeScope="" ma:versionID="eba02c13b48e6c8b5caa96dfd1f0519f">
  <xsd:schema xmlns:xsd="http://www.w3.org/2001/XMLSchema" xmlns:xs="http://www.w3.org/2001/XMLSchema" xmlns:p="http://schemas.microsoft.com/office/2006/metadata/properties" xmlns:ns1="http://schemas.microsoft.com/sharepoint/v3" xmlns:ns2="b88a794c-53af-46f8-bf42-80b7c5c5d17a" xmlns:ns3="fab71760-5bf0-43fa-bbd3-92495903ff24" targetNamespace="http://schemas.microsoft.com/office/2006/metadata/properties" ma:root="true" ma:fieldsID="8acce83275d280eb6815d574d8c1bbe8" ns1:_="" ns2:_="" ns3:_="">
    <xsd:import namespace="http://schemas.microsoft.com/sharepoint/v3"/>
    <xsd:import namespace="b88a794c-53af-46f8-bf42-80b7c5c5d17a"/>
    <xsd:import namespace="fab71760-5bf0-43fa-bbd3-92495903ff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a794c-53af-46f8-bf42-80b7c5c5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iority" ma:index="26" nillable="true" ma:displayName="Priority" ma:format="Dropdown" ma:internalName="Priority">
      <xsd:simpleType>
        <xsd:restriction base="dms:Choice">
          <xsd:enumeration value="Agriculture &amp; Bioeconomy"/>
          <xsd:enumeration value="Climate"/>
          <xsd:enumeration value="Innovation &amp; digitalisation"/>
          <xsd:enumeration value="Cohesion"/>
          <xsd:enumeration value="Capital Markets Union"/>
          <xsd:enumeration value="Global"/>
          <xsd:enumeration value="Security &amp; Defence"/>
          <xsd:enumeration value="Social infrastructure"/>
          <xsd:enumeration value="Multiple"/>
        </xsd:restriction>
      </xsd:simpleType>
    </xsd:element>
  </xsd:schema>
  <xsd:schema xmlns:xsd="http://www.w3.org/2001/XMLSchema" xmlns:xs="http://www.w3.org/2001/XMLSchema" xmlns:dms="http://schemas.microsoft.com/office/2006/documentManagement/types" xmlns:pc="http://schemas.microsoft.com/office/infopath/2007/PartnerControls" targetNamespace="fab71760-5bf0-43fa-bbd3-92495903ff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149251-e70e-4af5-887f-4f49b9d5847a}" ma:internalName="TaxCatchAll" ma:showField="CatchAllData" ma:web="fab71760-5bf0-43fa-bbd3-92495903ff2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BECD6-94D5-43CC-8053-D9FF0C8D9C0C}">
  <ds:schemaRefs>
    <ds:schemaRef ds:uri="http://schemas.microsoft.com/sharepoint/v3/contenttype/forms"/>
  </ds:schemaRefs>
</ds:datastoreItem>
</file>

<file path=customXml/itemProps2.xml><?xml version="1.0" encoding="utf-8"?>
<ds:datastoreItem xmlns:ds="http://schemas.openxmlformats.org/officeDocument/2006/customXml" ds:itemID="{BCAC99E4-8967-4255-9E43-C48E69900011}">
  <ds:schemaRefs>
    <ds:schemaRef ds:uri="http://schemas.microsoft.com/office/2006/metadata/properties"/>
    <ds:schemaRef ds:uri="http://schemas.microsoft.com/office/infopath/2007/PartnerControls"/>
    <ds:schemaRef ds:uri="http://schemas.microsoft.com/sharepoint/v3"/>
    <ds:schemaRef ds:uri="fab71760-5bf0-43fa-bbd3-92495903ff24"/>
    <ds:schemaRef ds:uri="b88a794c-53af-46f8-bf42-80b7c5c5d17a"/>
  </ds:schemaRefs>
</ds:datastoreItem>
</file>

<file path=customXml/itemProps3.xml><?xml version="1.0" encoding="utf-8"?>
<ds:datastoreItem xmlns:ds="http://schemas.openxmlformats.org/officeDocument/2006/customXml" ds:itemID="{3C687A49-0135-41A3-8F74-660F233BF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a794c-53af-46f8-bf42-80b7c5c5d17a"/>
    <ds:schemaRef ds:uri="fab71760-5bf0-43fa-bbd3-92495903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1517</Words>
  <Characters>8650</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Investment Bank</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HENRY Nadine</cp:lastModifiedBy>
  <cp:revision>3</cp:revision>
  <dcterms:created xsi:type="dcterms:W3CDTF">2025-11-03T11:26:00Z</dcterms:created>
  <dcterms:modified xsi:type="dcterms:W3CDTF">2025-11-03T11:48:00Z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0x0101002D6236739B56194F8ED8CDA6118C2021</vt:lpwstr>
  </property>
  <property fmtid="{D5CDD505-2E9C-101B-9397-08002B2CF9AE}" pid="3" name="docLang">
    <vt:lpwstr>en</vt:lpwstr>
  </property>
  <property fmtid="{D5CDD505-2E9C-101B-9397-08002B2CF9AE}" pid="4" name="MediaServiceImageTags">
    <vt:lpwstr/>
  </property>
  <property fmtid="{D5CDD505-2E9C-101B-9397-08002B2CF9AE}" pid="5" name="ClassificationContentMarkingFooterShapeIds">
    <vt:lpwstr>4fe88669,7307f856,25502c45</vt:lpwstr>
  </property>
  <property fmtid="{D5CDD505-2E9C-101B-9397-08002B2CF9AE}" pid="6" name="ClassificationContentMarkingFooterFontProps">
    <vt:lpwstr>#008000,12,Calibri</vt:lpwstr>
  </property>
  <property fmtid="{D5CDD505-2E9C-101B-9397-08002B2CF9AE}" pid="7" name="ClassificationContentMarkingFooterText">
    <vt:lpwstr>Internal Use</vt:lpwstr>
  </property>
  <property fmtid="{D5CDD505-2E9C-101B-9397-08002B2CF9AE}" pid="8" name="MSIP_Label_019c027e-33b7-45fc-a572-8ffa5d09ec36_Enabled">
    <vt:lpwstr>true</vt:lpwstr>
  </property>
  <property fmtid="{D5CDD505-2E9C-101B-9397-08002B2CF9AE}" pid="9" name="MSIP_Label_019c027e-33b7-45fc-a572-8ffa5d09ec36_SetDate">
    <vt:lpwstr>2025-10-21T11:24:46Z</vt:lpwstr>
  </property>
  <property fmtid="{D5CDD505-2E9C-101B-9397-08002B2CF9AE}" pid="10" name="MSIP_Label_019c027e-33b7-45fc-a572-8ffa5d09ec36_Method">
    <vt:lpwstr>Standard</vt:lpwstr>
  </property>
  <property fmtid="{D5CDD505-2E9C-101B-9397-08002B2CF9AE}" pid="11" name="MSIP_Label_019c027e-33b7-45fc-a572-8ffa5d09ec36_Name">
    <vt:lpwstr>Internal Use</vt:lpwstr>
  </property>
  <property fmtid="{D5CDD505-2E9C-101B-9397-08002B2CF9AE}" pid="12" name="MSIP_Label_019c027e-33b7-45fc-a572-8ffa5d09ec36_SiteId">
    <vt:lpwstr>031a09bc-a2bf-44df-888e-4e09355b7a24</vt:lpwstr>
  </property>
  <property fmtid="{D5CDD505-2E9C-101B-9397-08002B2CF9AE}" pid="13" name="MSIP_Label_019c027e-33b7-45fc-a572-8ffa5d09ec36_ActionId">
    <vt:lpwstr>53736fe9-a549-47c8-b3de-342e0189309f</vt:lpwstr>
  </property>
  <property fmtid="{D5CDD505-2E9C-101B-9397-08002B2CF9AE}" pid="14" name="MSIP_Label_019c027e-33b7-45fc-a572-8ffa5d09ec36_ContentBits">
    <vt:lpwstr>2</vt:lpwstr>
  </property>
  <property fmtid="{D5CDD505-2E9C-101B-9397-08002B2CF9AE}" pid="15" name="MSIP_Label_019c027e-33b7-45fc-a572-8ffa5d09ec36_Tag">
    <vt:lpwstr>10, 3, 0, 1</vt:lpwstr>
  </property>
  <property fmtid="{D5CDD505-2E9C-101B-9397-08002B2CF9AE}" pid="16" name="MSIP_Label_fbd1181f-857e-4134-a587-0e6af6a80a3c_Enabled">
    <vt:lpwstr>true</vt:lpwstr>
  </property>
  <property fmtid="{D5CDD505-2E9C-101B-9397-08002B2CF9AE}" pid="17" name="MSIP_Label_fbd1181f-857e-4134-a587-0e6af6a80a3c_SetDate">
    <vt:lpwstr>2025-11-03T11:48:12Z</vt:lpwstr>
  </property>
  <property fmtid="{D5CDD505-2E9C-101B-9397-08002B2CF9AE}" pid="18" name="MSIP_Label_fbd1181f-857e-4134-a587-0e6af6a80a3c_Method">
    <vt:lpwstr>Privileged</vt:lpwstr>
  </property>
  <property fmtid="{D5CDD505-2E9C-101B-9397-08002B2CF9AE}" pid="19" name="MSIP_Label_fbd1181f-857e-4134-a587-0e6af6a80a3c_Name">
    <vt:lpwstr>Default Non-EIBG Use</vt:lpwstr>
  </property>
  <property fmtid="{D5CDD505-2E9C-101B-9397-08002B2CF9AE}" pid="20" name="MSIP_Label_fbd1181f-857e-4134-a587-0e6af6a80a3c_SiteId">
    <vt:lpwstr>0b96d5d2-d153-4370-a2c7-8a926f24c8a1</vt:lpwstr>
  </property>
  <property fmtid="{D5CDD505-2E9C-101B-9397-08002B2CF9AE}" pid="21" name="MSIP_Label_fbd1181f-857e-4134-a587-0e6af6a80a3c_ActionId">
    <vt:lpwstr>a9ea8b8e-b4f0-4b03-ba55-75ed699bc6be</vt:lpwstr>
  </property>
  <property fmtid="{D5CDD505-2E9C-101B-9397-08002B2CF9AE}" pid="22" name="MSIP_Label_fbd1181f-857e-4134-a587-0e6af6a80a3c_ContentBits">
    <vt:lpwstr>0</vt:lpwstr>
  </property>
  <property fmtid="{D5CDD505-2E9C-101B-9397-08002B2CF9AE}" pid="23" name="MSIP_Label_fbd1181f-857e-4134-a587-0e6af6a80a3c_Tag">
    <vt:lpwstr>10, 0, 1, 1</vt:lpwstr>
  </property>
</Properties>
</file>