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538D3356" w:rsidP="137F1BC2" w:rsidRDefault="538D3356" w14:paraId="301573E2" w14:textId="5613A14D">
      <w:pPr>
        <w:jc w:val="center"/>
        <w:rPr>
          <w:b/>
          <w:bCs/>
          <w:u w:val="single"/>
        </w:rPr>
      </w:pPr>
      <w:r w:rsidRPr="137F1BC2">
        <w:rPr>
          <w:b/>
          <w:bCs/>
          <w:u w:val="single"/>
        </w:rPr>
        <w:t>Greater Manchester’s Integrated Settlement – Frequently Asked Questions</w:t>
      </w:r>
    </w:p>
    <w:p w:rsidR="29AEE212" w:rsidP="1E6148FA" w:rsidRDefault="1074C1D7" w14:paraId="7602A890" w14:textId="5BDCFFD6">
      <w:pPr>
        <w:rPr>
          <w:b/>
          <w:bCs/>
        </w:rPr>
      </w:pPr>
      <w:r w:rsidRPr="1E6148FA">
        <w:rPr>
          <w:b/>
          <w:bCs/>
        </w:rPr>
        <w:t>When is Greater Manchester receiving its Integrated Settlement?</w:t>
      </w:r>
    </w:p>
    <w:p w:rsidR="7E9FFBF7" w:rsidP="1E6148FA" w:rsidRDefault="05E73357" w14:paraId="65F66298" w14:textId="20D33E11">
      <w:r>
        <w:t xml:space="preserve">The Greater Manchester Integrated Settlement takes effect from </w:t>
      </w:r>
      <w:r w:rsidR="127329D1">
        <w:t xml:space="preserve">1 </w:t>
      </w:r>
      <w:r>
        <w:t>April 2025</w:t>
      </w:r>
      <w:r w:rsidR="0B3F2D8E">
        <w:t xml:space="preserve">, </w:t>
      </w:r>
      <w:r w:rsidR="63F02D6A">
        <w:t>as part of our trailblazing devolution deal signed with the government.</w:t>
      </w:r>
    </w:p>
    <w:p w:rsidR="1D9DAD9B" w:rsidP="1E6148FA" w:rsidRDefault="1D9DAD9B" w14:paraId="13C3EE67" w14:textId="73194B46">
      <w:pPr>
        <w:rPr>
          <w:b/>
          <w:bCs/>
        </w:rPr>
      </w:pPr>
      <w:r w:rsidRPr="1E6148FA">
        <w:rPr>
          <w:b/>
          <w:bCs/>
        </w:rPr>
        <w:t>What does the Integrated Settlement provide?</w:t>
      </w:r>
    </w:p>
    <w:p w:rsidR="1D9DAD9B" w:rsidP="1E6148FA" w:rsidRDefault="5A310108" w14:paraId="0B0241AF" w14:textId="7BDB016D">
      <w:r w:rsidRPr="1E6148FA">
        <w:t xml:space="preserve">The settlement is a massive change in how central government gives us money. </w:t>
      </w:r>
    </w:p>
    <w:p w:rsidR="1D9DAD9B" w:rsidP="1E6148FA" w:rsidRDefault="1D9DAD9B" w14:paraId="07FD64E7" w14:textId="6F5C1AB7">
      <w:r w:rsidRPr="1E6148FA">
        <w:t>It provides a single funding pot allowing greater flexibility with what Greater Manchester can do with its budget</w:t>
      </w:r>
      <w:r w:rsidRPr="1E6148FA" w:rsidR="1D367D78">
        <w:t>.</w:t>
      </w:r>
    </w:p>
    <w:p w:rsidR="1D367D78" w:rsidP="1E6148FA" w:rsidRDefault="42EED607" w14:paraId="7B0831D9" w14:textId="7982C779" w14:noSpellErr="1">
      <w:r w:rsidR="1865F46C">
        <w:rPr/>
        <w:t>In the past</w:t>
      </w:r>
      <w:r w:rsidR="0714CAE5">
        <w:rPr/>
        <w:t>,</w:t>
      </w:r>
      <w:r w:rsidR="1865F46C">
        <w:rPr/>
        <w:t xml:space="preserve"> funding would be provided for specific areas</w:t>
      </w:r>
      <w:r w:rsidR="79F051E6">
        <w:rPr/>
        <w:t xml:space="preserve"> or </w:t>
      </w:r>
      <w:r w:rsidR="1865F46C">
        <w:rPr/>
        <w:t>projects. Now G</w:t>
      </w:r>
      <w:r w:rsidR="5021433E">
        <w:rPr/>
        <w:t xml:space="preserve">reater </w:t>
      </w:r>
      <w:r w:rsidR="1865F46C">
        <w:rPr/>
        <w:t>M</w:t>
      </w:r>
      <w:r w:rsidR="56FBED5E">
        <w:rPr/>
        <w:t>anchester</w:t>
      </w:r>
      <w:r w:rsidR="1865F46C">
        <w:rPr/>
        <w:t xml:space="preserve"> will be able to move funding between policy areas with more flexibility, allowing join</w:t>
      </w:r>
      <w:r w:rsidR="2014CF70">
        <w:rPr/>
        <w:t>ed up funding and delivery across similar policy areas.</w:t>
      </w:r>
    </w:p>
    <w:p w:rsidR="71517FFA" w:rsidRDefault="71517FFA" w14:paraId="60B8F16C" w14:textId="0FB26C94">
      <w:r w:rsidR="71517FFA">
        <w:rPr/>
        <w:t xml:space="preserve">In return, Greater Manchester will deliver </w:t>
      </w:r>
      <w:r w:rsidR="71517FFA">
        <w:rPr/>
        <w:t>a number of</w:t>
      </w:r>
      <w:r w:rsidR="71517FFA">
        <w:rPr/>
        <w:t xml:space="preserve"> outcomes, agreed with the Government. </w:t>
      </w:r>
    </w:p>
    <w:p w:rsidR="4D4E339A" w:rsidP="1E6148FA" w:rsidRDefault="4D4E339A" w14:paraId="0135247A" w14:textId="6591562F">
      <w:r w:rsidRPr="1E6148FA">
        <w:rPr>
          <w:b/>
          <w:bCs/>
        </w:rPr>
        <w:t>How does this affect how Greater Manchester sets local budgets in the future?</w:t>
      </w:r>
    </w:p>
    <w:p w:rsidR="4D4E339A" w:rsidP="1E6148FA" w:rsidRDefault="4D4E339A" w14:paraId="49320385" w14:textId="24B86317">
      <w:r w:rsidRPr="1E6148FA">
        <w:t xml:space="preserve">As the settlement is implemented, </w:t>
      </w:r>
      <w:r w:rsidR="4A6534B8">
        <w:t>the</w:t>
      </w:r>
      <w:r w:rsidRPr="1E6148FA">
        <w:t xml:space="preserve"> GMCA budget</w:t>
      </w:r>
      <w:r w:rsidR="4A6534B8">
        <w:t>-</w:t>
      </w:r>
      <w:r w:rsidRPr="1E6148FA">
        <w:t>setting process will involve much greater local decision making on how the funding is spent.</w:t>
      </w:r>
    </w:p>
    <w:p w:rsidR="0D6B2259" w:rsidP="1E6148FA" w:rsidRDefault="0D6B2259" w14:paraId="3242DD1C" w14:textId="609967CC">
      <w:pPr>
        <w:rPr>
          <w:b/>
          <w:bCs/>
        </w:rPr>
      </w:pPr>
      <w:r w:rsidRPr="1E6148FA">
        <w:rPr>
          <w:b/>
          <w:bCs/>
        </w:rPr>
        <w:t>What are some of the main advantages of this?</w:t>
      </w:r>
    </w:p>
    <w:p w:rsidR="0D6B2259" w:rsidP="1E6148FA" w:rsidRDefault="0D6B2259" w14:paraId="72931F77" w14:textId="678A3DF3">
      <w:r w:rsidR="0D6B2259">
        <w:rPr/>
        <w:t xml:space="preserve">The flexibility will </w:t>
      </w:r>
      <w:r w:rsidR="3F427D2C">
        <w:rPr/>
        <w:t>give</w:t>
      </w:r>
      <w:r w:rsidR="10A37D36">
        <w:rPr/>
        <w:t xml:space="preserve"> us </w:t>
      </w:r>
      <w:r w:rsidR="23C78002">
        <w:rPr/>
        <w:t>greater</w:t>
      </w:r>
      <w:r w:rsidR="10A37D36">
        <w:rPr/>
        <w:t xml:space="preserve"> ability to join up delivery</w:t>
      </w:r>
      <w:r w:rsidR="0DA51E83">
        <w:rPr/>
        <w:t>, improving outcomes for residents and businesses</w:t>
      </w:r>
      <w:r w:rsidR="4C7997D8">
        <w:rPr/>
        <w:t>. Previously, funding supplied by government could only be siloed into specific projects, even if there were similar</w:t>
      </w:r>
      <w:r w:rsidR="3B6FC79E">
        <w:rPr/>
        <w:t xml:space="preserve"> or </w:t>
      </w:r>
      <w:r w:rsidR="4C7997D8">
        <w:rPr/>
        <w:t>complementary areas that could have benefited.</w:t>
      </w:r>
    </w:p>
    <w:p w:rsidR="17400626" w:rsidP="1E6148FA" w:rsidRDefault="162A3B9C" w14:paraId="7D8E0614" w14:textId="38948F42">
      <w:r>
        <w:t>An example would be greater join</w:t>
      </w:r>
      <w:r w:rsidR="3F4C0C78">
        <w:t>-</w:t>
      </w:r>
      <w:r>
        <w:t>up between our local adult skills and employment support system</w:t>
      </w:r>
      <w:r w:rsidR="3D2C0F1B">
        <w:t>. By t</w:t>
      </w:r>
      <w:r>
        <w:t>arget</w:t>
      </w:r>
      <w:r w:rsidR="2FA29ECF">
        <w:t>ing</w:t>
      </w:r>
      <w:r>
        <w:t xml:space="preserve"> support </w:t>
      </w:r>
      <w:r w:rsidR="48494284">
        <w:t xml:space="preserve">so that </w:t>
      </w:r>
      <w:r>
        <w:t>G</w:t>
      </w:r>
      <w:r w:rsidR="7DB0B467">
        <w:t xml:space="preserve">reater </w:t>
      </w:r>
      <w:r>
        <w:t>M</w:t>
      </w:r>
      <w:r w:rsidR="452F31FE">
        <w:t>anchester</w:t>
      </w:r>
      <w:r>
        <w:t xml:space="preserve"> </w:t>
      </w:r>
      <w:r w:rsidR="550B8440">
        <w:t xml:space="preserve">residents </w:t>
      </w:r>
      <w:r w:rsidR="29CD1483">
        <w:t>can</w:t>
      </w:r>
      <w:r>
        <w:t xml:space="preserve"> develop the skills they need to find fulfilling employment </w:t>
      </w:r>
      <w:r w:rsidR="45950742">
        <w:t xml:space="preserve">that is </w:t>
      </w:r>
      <w:r>
        <w:t>linked to local demand</w:t>
      </w:r>
      <w:r w:rsidR="52C353FF">
        <w:t xml:space="preserve">, we </w:t>
      </w:r>
      <w:r w:rsidR="0EC6AB4E">
        <w:t>can deliver</w:t>
      </w:r>
      <w:r w:rsidR="52C353FF">
        <w:t xml:space="preserve"> much better outcomes</w:t>
      </w:r>
      <w:r>
        <w:t>.</w:t>
      </w:r>
      <w:r w:rsidR="28681ABA">
        <w:t xml:space="preserve"> </w:t>
      </w:r>
    </w:p>
    <w:p w:rsidR="17400626" w:rsidP="1E6148FA" w:rsidRDefault="464C5962" w14:paraId="24AF6389" w14:textId="5E47F7EF">
      <w:r>
        <w:t>For instance, a</w:t>
      </w:r>
      <w:r w:rsidR="0B4BAD69">
        <w:t>s G</w:t>
      </w:r>
      <w:r w:rsidR="10F41C2B">
        <w:t xml:space="preserve">reater </w:t>
      </w:r>
      <w:r w:rsidR="0B4BAD69">
        <w:t>M</w:t>
      </w:r>
      <w:r w:rsidR="6FD72271">
        <w:t>anchester</w:t>
      </w:r>
      <w:r w:rsidR="0B4BAD69">
        <w:t xml:space="preserve"> will no longer receive funding on the condition it is used for one specific purpose,</w:t>
      </w:r>
      <w:r w:rsidR="16C94FDF">
        <w:t xml:space="preserve"> w</w:t>
      </w:r>
      <w:r w:rsidR="586462C6">
        <w:t>e c</w:t>
      </w:r>
      <w:r w:rsidR="51E78AAD">
        <w:t>ould</w:t>
      </w:r>
      <w:r w:rsidR="586462C6">
        <w:t xml:space="preserve"> use our</w:t>
      </w:r>
      <w:r w:rsidR="16C94FDF">
        <w:t xml:space="preserve"> Employment Support and Skills funding</w:t>
      </w:r>
      <w:r w:rsidR="1B07E4F6">
        <w:t xml:space="preserve"> </w:t>
      </w:r>
      <w:r w:rsidR="511545C0">
        <w:t>to</w:t>
      </w:r>
      <w:r w:rsidR="16C94FDF">
        <w:t xml:space="preserve"> target</w:t>
      </w:r>
      <w:r w:rsidR="7AF5884A">
        <w:t xml:space="preserve"> the</w:t>
      </w:r>
      <w:r w:rsidR="16C94FDF">
        <w:t xml:space="preserve"> local skills gaps, regional employment opportunities and wider G</w:t>
      </w:r>
      <w:r w:rsidR="3BF1F43D">
        <w:t xml:space="preserve">reater </w:t>
      </w:r>
      <w:r w:rsidR="16C94FDF">
        <w:t>M</w:t>
      </w:r>
      <w:r w:rsidR="46F41332">
        <w:t>anchester</w:t>
      </w:r>
      <w:r w:rsidR="16C94FDF">
        <w:t xml:space="preserve"> strategies </w:t>
      </w:r>
      <w:r w:rsidR="4B961ECE">
        <w:t xml:space="preserve">we choose </w:t>
      </w:r>
      <w:r w:rsidR="16C94FDF">
        <w:t xml:space="preserve">when </w:t>
      </w:r>
      <w:r w:rsidR="0313AA19">
        <w:t>allocating funding.</w:t>
      </w:r>
    </w:p>
    <w:p w:rsidR="1886CD87" w:rsidP="5014E3E7" w:rsidRDefault="236CF7A2" w14:paraId="3BD997B9" w14:textId="5E909CB2">
      <w:pPr>
        <w:rPr>
          <w:strike/>
        </w:rPr>
      </w:pPr>
      <w:r>
        <w:t xml:space="preserve">The </w:t>
      </w:r>
      <w:r w:rsidR="48F9343C">
        <w:t>Integrated</w:t>
      </w:r>
      <w:r w:rsidR="00EEB93E">
        <w:t xml:space="preserve"> </w:t>
      </w:r>
      <w:r w:rsidR="06930DAE">
        <w:t>S</w:t>
      </w:r>
      <w:r>
        <w:t>ettlement also allows us to be more innovative and address the needs of our reside</w:t>
      </w:r>
      <w:r w:rsidR="77618289">
        <w:t xml:space="preserve">nts with local expertise. </w:t>
      </w:r>
      <w:r w:rsidR="30F212C9">
        <w:t xml:space="preserve">The Greater Manchester system has already shown that we </w:t>
      </w:r>
      <w:r w:rsidR="0A9F9D84">
        <w:t>can</w:t>
      </w:r>
      <w:r w:rsidR="30F212C9">
        <w:t xml:space="preserve"> be trailblazers and </w:t>
      </w:r>
      <w:r w:rsidR="3C89EDB5">
        <w:t xml:space="preserve">pioneer </w:t>
      </w:r>
      <w:r w:rsidR="30F212C9">
        <w:t xml:space="preserve">innovative solutions to </w:t>
      </w:r>
      <w:r w:rsidR="6E3FD779">
        <w:t xml:space="preserve">achieve </w:t>
      </w:r>
      <w:r w:rsidR="30F212C9">
        <w:t xml:space="preserve">our </w:t>
      </w:r>
      <w:r w:rsidR="14521DC6">
        <w:t>ambitions</w:t>
      </w:r>
      <w:r w:rsidR="616F3235">
        <w:t xml:space="preserve">, </w:t>
      </w:r>
      <w:r w:rsidR="52317941">
        <w:t>including</w:t>
      </w:r>
      <w:r w:rsidR="616F3235">
        <w:t xml:space="preserve"> </w:t>
      </w:r>
      <w:r w:rsidR="2D645D6A">
        <w:t xml:space="preserve">by </w:t>
      </w:r>
      <w:r w:rsidR="616F3235">
        <w:t xml:space="preserve">taking </w:t>
      </w:r>
      <w:r w:rsidR="77618289">
        <w:t xml:space="preserve">buses back under public </w:t>
      </w:r>
      <w:r w:rsidR="50770093">
        <w:t xml:space="preserve">control. The </w:t>
      </w:r>
      <w:r w:rsidR="27142661">
        <w:t>I</w:t>
      </w:r>
      <w:r w:rsidR="48F9343C">
        <w:t>ntegrated</w:t>
      </w:r>
      <w:r w:rsidR="50770093">
        <w:t xml:space="preserve"> </w:t>
      </w:r>
      <w:r w:rsidR="5CE7B991">
        <w:t>S</w:t>
      </w:r>
      <w:r w:rsidR="50770093">
        <w:t xml:space="preserve">ettlement will </w:t>
      </w:r>
      <w:r w:rsidR="655724E9">
        <w:t>make it easier for</w:t>
      </w:r>
      <w:r w:rsidR="6C56EA06">
        <w:t xml:space="preserve"> G</w:t>
      </w:r>
      <w:r w:rsidR="1C51D1D3">
        <w:t xml:space="preserve">reater </w:t>
      </w:r>
      <w:r w:rsidR="6C56EA06">
        <w:t>M</w:t>
      </w:r>
      <w:r w:rsidR="0FC0F2C4">
        <w:t>anchester</w:t>
      </w:r>
      <w:r w:rsidR="6C56EA06">
        <w:t xml:space="preserve"> to</w:t>
      </w:r>
      <w:r w:rsidR="6E542C89">
        <w:t xml:space="preserve"> drive this innovation</w:t>
      </w:r>
      <w:r w:rsidR="6C56EA06">
        <w:t>, by giving us more autonomy over how funds related to key thematic areas</w:t>
      </w:r>
      <w:r w:rsidR="1BD19280">
        <w:t xml:space="preserve"> such as </w:t>
      </w:r>
      <w:r w:rsidR="44546C7E">
        <w:t>t</w:t>
      </w:r>
      <w:r w:rsidR="1BD19280">
        <w:t>ransport</w:t>
      </w:r>
      <w:r w:rsidR="6C56EA06">
        <w:t xml:space="preserve"> </w:t>
      </w:r>
      <w:r w:rsidR="186646EC">
        <w:t xml:space="preserve">and </w:t>
      </w:r>
      <w:r w:rsidR="44546C7E">
        <w:t xml:space="preserve">adult skills </w:t>
      </w:r>
      <w:r w:rsidR="6C56EA06">
        <w:t>are allocated.</w:t>
      </w:r>
    </w:p>
    <w:p w:rsidR="5F1AB01D" w:rsidP="1E6148FA" w:rsidRDefault="5C613895" w14:paraId="3F271930" w14:textId="2CAFC47E">
      <w:r>
        <w:t>It also takes us away from short</w:t>
      </w:r>
      <w:r w:rsidR="798EBAEF">
        <w:t>-</w:t>
      </w:r>
      <w:r>
        <w:t>term decision</w:t>
      </w:r>
      <w:r w:rsidR="5994FB0F">
        <w:t>-</w:t>
      </w:r>
      <w:r>
        <w:t>making due to restricted funding pots.</w:t>
      </w:r>
      <w:r w:rsidR="59EDA3A6">
        <w:t xml:space="preserve"> The </w:t>
      </w:r>
      <w:r w:rsidR="31F9363E">
        <w:t>Integrated S</w:t>
      </w:r>
      <w:r w:rsidR="59EDA3A6">
        <w:t>ettlement will give G</w:t>
      </w:r>
      <w:r w:rsidR="31EAF156">
        <w:t xml:space="preserve">reater </w:t>
      </w:r>
      <w:r w:rsidR="59EDA3A6">
        <w:t>M</w:t>
      </w:r>
      <w:r w:rsidR="5EF16658">
        <w:t>anchester</w:t>
      </w:r>
      <w:r w:rsidR="59EDA3A6">
        <w:t xml:space="preserve"> </w:t>
      </w:r>
      <w:proofErr w:type="gramStart"/>
      <w:r w:rsidR="3198518F">
        <w:t>funding</w:t>
      </w:r>
      <w:proofErr w:type="gramEnd"/>
      <w:r w:rsidR="3198518F">
        <w:t xml:space="preserve"> which</w:t>
      </w:r>
      <w:r w:rsidR="59EDA3A6">
        <w:t xml:space="preserve"> is </w:t>
      </w:r>
      <w:r w:rsidR="29E761C8">
        <w:t>aligned</w:t>
      </w:r>
      <w:r w:rsidR="59EDA3A6">
        <w:t xml:space="preserve"> to</w:t>
      </w:r>
      <w:r w:rsidR="76994D23">
        <w:t xml:space="preserve"> Governmental Spending Review</w:t>
      </w:r>
      <w:r w:rsidR="70C76696">
        <w:t>s</w:t>
      </w:r>
      <w:r w:rsidR="76994D23">
        <w:t>, meaning that from April 2026 onwards, G</w:t>
      </w:r>
      <w:r w:rsidR="501CD123">
        <w:t xml:space="preserve">reater </w:t>
      </w:r>
      <w:r w:rsidR="76994D23">
        <w:t>M</w:t>
      </w:r>
      <w:r w:rsidR="65666AB8">
        <w:t>anchester</w:t>
      </w:r>
      <w:r w:rsidR="76994D23">
        <w:t xml:space="preserve"> will have a </w:t>
      </w:r>
      <w:r w:rsidR="184313BC">
        <w:t>multi</w:t>
      </w:r>
      <w:r w:rsidR="51B649C5">
        <w:t>-</w:t>
      </w:r>
      <w:r w:rsidR="184313BC">
        <w:t>year</w:t>
      </w:r>
      <w:r w:rsidR="76994D23">
        <w:t xml:space="preserve"> </w:t>
      </w:r>
      <w:r w:rsidR="4BE645FB">
        <w:t>settlement</w:t>
      </w:r>
      <w:r w:rsidR="76994D23">
        <w:t xml:space="preserve"> </w:t>
      </w:r>
      <w:r w:rsidR="2D11FD73">
        <w:t xml:space="preserve">with the ability to move funding between financial years </w:t>
      </w:r>
      <w:r w:rsidR="69F4A657">
        <w:t>within the same S</w:t>
      </w:r>
      <w:r w:rsidR="58C6CBEE">
        <w:t xml:space="preserve">pending </w:t>
      </w:r>
      <w:r w:rsidR="69F4A657">
        <w:t>R</w:t>
      </w:r>
      <w:r w:rsidR="7CD1C4E4">
        <w:t>eview</w:t>
      </w:r>
      <w:r w:rsidR="69F4A657">
        <w:t xml:space="preserve"> period. The</w:t>
      </w:r>
      <w:r w:rsidR="2D11FD73">
        <w:t xml:space="preserve"> settlement </w:t>
      </w:r>
      <w:r w:rsidR="7908FDE2">
        <w:t xml:space="preserve">also </w:t>
      </w:r>
      <w:proofErr w:type="gramStart"/>
      <w:r w:rsidR="2D11FD73">
        <w:t>opens up</w:t>
      </w:r>
      <w:proofErr w:type="gramEnd"/>
      <w:r w:rsidR="2D11FD73">
        <w:t xml:space="preserve"> the possibility of moving f</w:t>
      </w:r>
      <w:r w:rsidR="4D4C8F6A">
        <w:t>unding into future years beyond S</w:t>
      </w:r>
      <w:r w:rsidR="5D63FFDA">
        <w:t xml:space="preserve">pending </w:t>
      </w:r>
      <w:r w:rsidR="4D4C8F6A">
        <w:t>R</w:t>
      </w:r>
      <w:r w:rsidR="5AC37646">
        <w:t>eview</w:t>
      </w:r>
      <w:r w:rsidR="4D4C8F6A">
        <w:t xml:space="preserve"> periods</w:t>
      </w:r>
      <w:r w:rsidR="6EF7211C">
        <w:t>,</w:t>
      </w:r>
      <w:r w:rsidR="4D4C8F6A">
        <w:t xml:space="preserve"> with T</w:t>
      </w:r>
      <w:r w:rsidR="11A9CDF4">
        <w:t>reasury</w:t>
      </w:r>
      <w:r w:rsidR="4D4C8F6A">
        <w:t xml:space="preserve"> </w:t>
      </w:r>
      <w:r w:rsidR="381315D6">
        <w:t>approval</w:t>
      </w:r>
      <w:r w:rsidR="1C1D3456">
        <w:t>,</w:t>
      </w:r>
      <w:r w:rsidR="5821A3CD">
        <w:t xml:space="preserve"> and will give us </w:t>
      </w:r>
      <w:r w:rsidR="381315D6">
        <w:t xml:space="preserve">the following flexibilities: </w:t>
      </w:r>
    </w:p>
    <w:p w:rsidR="1F418C03" w:rsidP="1E6148FA" w:rsidRDefault="475C3992" w14:paraId="103B143F" w14:textId="43B59C44">
      <w:pPr>
        <w:numPr>
          <w:ilvl w:val="0"/>
          <w:numId w:val="2"/>
        </w:numPr>
      </w:pPr>
      <w:r>
        <w:t>The a</w:t>
      </w:r>
      <w:r w:rsidR="381315D6">
        <w:t>bility</w:t>
      </w:r>
      <w:r w:rsidRPr="1E6148FA" w:rsidR="1F418C03">
        <w:t xml:space="preserve"> to move 10% of funding between thematic areas</w:t>
      </w:r>
      <w:r w:rsidR="5C156116">
        <w:t xml:space="preserve">, or </w:t>
      </w:r>
      <w:r w:rsidRPr="1E6148FA" w:rsidR="1F418C03">
        <w:t>pillars</w:t>
      </w:r>
      <w:r w:rsidR="0A924D48">
        <w:t>.</w:t>
      </w:r>
      <w:r w:rsidRPr="1E6148FA" w:rsidR="28FC0AEC">
        <w:t xml:space="preserve"> This could include </w:t>
      </w:r>
      <w:r w:rsidRPr="1E6148FA" w:rsidR="3B6E61C6">
        <w:t>moving money from education to transport if the lack of a bus route or other transport infrastructure in an area is seen as a barrier to people gaining skills.</w:t>
      </w:r>
    </w:p>
    <w:p w:rsidR="1F418C03" w:rsidP="1E6148FA" w:rsidRDefault="79F18A1E" w14:paraId="4FE7B7C9" w14:textId="2E8F30BD">
      <w:pPr>
        <w:numPr>
          <w:ilvl w:val="0"/>
          <w:numId w:val="2"/>
        </w:numPr>
        <w:rPr/>
      </w:pPr>
      <w:r w:rsidR="15003F94">
        <w:rPr/>
        <w:t>The a</w:t>
      </w:r>
      <w:r w:rsidR="381315D6">
        <w:rPr/>
        <w:t>bility</w:t>
      </w:r>
      <w:r w:rsidR="1F418C03">
        <w:rPr/>
        <w:t xml:space="preserve"> to move money flexibly within pillars</w:t>
      </w:r>
      <w:r w:rsidR="6341B4D5">
        <w:rPr/>
        <w:t xml:space="preserve"> between </w:t>
      </w:r>
      <w:r w:rsidR="6341B4D5">
        <w:rPr/>
        <w:t>different types</w:t>
      </w:r>
      <w:r w:rsidR="6341B4D5">
        <w:rPr/>
        <w:t xml:space="preserve"> of spending, such as investment or resource for day-to-day services</w:t>
      </w:r>
      <w:r w:rsidR="1F418C03">
        <w:rPr/>
        <w:t xml:space="preserve"> </w:t>
      </w:r>
      <w:proofErr w:type="gramStart"/>
      <w:proofErr w:type="gramEnd"/>
    </w:p>
    <w:p w:rsidR="1F418C03" w:rsidP="1E6148FA" w:rsidRDefault="79F18A1E" w14:paraId="3C77529E" w14:textId="3F21A296">
      <w:pPr>
        <w:numPr>
          <w:ilvl w:val="0"/>
          <w:numId w:val="2"/>
        </w:numPr>
        <w:rPr/>
      </w:pPr>
      <w:r w:rsidR="79F18A1E">
        <w:rPr/>
        <w:t>The f</w:t>
      </w:r>
      <w:r w:rsidR="381315D6">
        <w:rPr/>
        <w:t>lexibility</w:t>
      </w:r>
      <w:r w:rsidR="1F418C03">
        <w:rPr/>
        <w:t xml:space="preserve"> to </w:t>
      </w:r>
      <w:r w:rsidR="1F418C03">
        <w:rPr/>
        <w:t>allocate</w:t>
      </w:r>
      <w:r w:rsidR="1F418C03">
        <w:rPr/>
        <w:t xml:space="preserve"> funding based on our regional ambitions</w:t>
      </w:r>
      <w:r w:rsidR="370C29BD">
        <w:rPr/>
        <w:t>, in line with</w:t>
      </w:r>
      <w:r w:rsidR="1F418C03">
        <w:rPr/>
        <w:t xml:space="preserve"> </w:t>
      </w:r>
      <w:r w:rsidR="3850608E">
        <w:rPr/>
        <w:t xml:space="preserve">joint </w:t>
      </w:r>
      <w:r w:rsidR="1F418C03">
        <w:rPr/>
        <w:t xml:space="preserve">outcomes agreed with Government through our </w:t>
      </w:r>
      <w:r w:rsidR="1F418C03">
        <w:rPr/>
        <w:t>outcomes</w:t>
      </w:r>
      <w:r w:rsidR="0D74A9B3">
        <w:rPr/>
        <w:t xml:space="preserve"> </w:t>
      </w:r>
      <w:r w:rsidR="1F418C03">
        <w:rPr/>
        <w:t>fr</w:t>
      </w:r>
      <w:r w:rsidR="141664C8">
        <w:rPr/>
        <w:t>amework</w:t>
      </w:r>
      <w:r w:rsidR="423BCD9C">
        <w:rPr/>
        <w:t xml:space="preserve">. </w:t>
      </w:r>
    </w:p>
    <w:p w:rsidR="4EC37449" w:rsidP="1E6148FA" w:rsidRDefault="4EC37449" w14:paraId="088A20FA" w14:textId="12C29DC5">
      <w:pPr>
        <w:rPr>
          <w:b/>
          <w:bCs/>
        </w:rPr>
      </w:pPr>
      <w:r w:rsidRPr="1E6148FA">
        <w:rPr>
          <w:b/>
          <w:bCs/>
        </w:rPr>
        <w:t>What is the breakdown of funding?</w:t>
      </w:r>
    </w:p>
    <w:p w:rsidR="4EC37449" w:rsidP="1E6148FA" w:rsidRDefault="4EC37449" w14:paraId="08D7CF23" w14:textId="4FA5F4C7">
      <w:r w:rsidRPr="1E6148FA">
        <w:t xml:space="preserve">The £630m confirmed so far for </w:t>
      </w:r>
      <w:r w:rsidR="2D60EC1D">
        <w:t xml:space="preserve">Greater Manchester </w:t>
      </w:r>
      <w:r w:rsidR="2AEC0367">
        <w:t xml:space="preserve">for </w:t>
      </w:r>
      <w:r w:rsidRPr="1E6148FA">
        <w:t xml:space="preserve">2025/26 </w:t>
      </w:r>
      <w:r w:rsidR="2AEC0367">
        <w:t>i</w:t>
      </w:r>
      <w:r w:rsidR="7ADC6AC5">
        <w:t>ncludes</w:t>
      </w:r>
      <w:r w:rsidRPr="1E6148FA">
        <w:t>:</w:t>
      </w:r>
    </w:p>
    <w:p w:rsidR="4EC37449" w:rsidP="1E6148FA" w:rsidRDefault="4EC37449" w14:paraId="4D451626" w14:textId="28FABD03" w14:noSpellErr="1">
      <w:r w:rsidR="4EC37449">
        <w:drawing>
          <wp:inline wp14:editId="62232FF4" wp14:anchorId="1A3ABD9D">
            <wp:extent cx="5822186" cy="1737510"/>
            <wp:effectExtent l="0" t="0" r="0" b="0"/>
            <wp:docPr id="2143577889" name="Picture 2143577889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143577889"/>
                    <pic:cNvPicPr/>
                  </pic:nvPicPr>
                  <pic:blipFill>
                    <a:blip r:embed="R709e730e63424a0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22186" cy="173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9DB87C5" w:rsidP="288CD7D0" w:rsidRDefault="69DB87C5" w14:paraId="2351CC49" w14:textId="7A60D810">
      <w:pPr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="69DB87C5">
        <w:rPr/>
        <w:t xml:space="preserve">The full details are here: </w:t>
      </w:r>
      <w:r>
        <w:fldChar w:fldCharType="begin"/>
      </w:r>
      <w:r>
        <w:instrText xml:space="preserve">HYPERLINK "https://www.gov.uk/government/publications/integrated-settlements-for-2025-to-2026" </w:instrText>
      </w:r>
      <w:r>
        <w:fldChar w:fldCharType="separate"/>
      </w:r>
      <w:r w:rsidRPr="288CD7D0" w:rsidR="69DB87C5">
        <w:rPr>
          <w:rStyle w:val="Hyperlink"/>
          <w:rFonts w:ascii="Aptos" w:hAnsi="Aptos" w:eastAsia="Aptos" w:cs="Aptos"/>
          <w:noProof w:val="0"/>
          <w:sz w:val="24"/>
          <w:szCs w:val="24"/>
          <w:lang w:val="en-GB"/>
        </w:rPr>
        <w:t>Integrated Settlements for 2025 to 2026 - GOV.UK</w:t>
      </w:r>
      <w:r>
        <w:fldChar w:fldCharType="end"/>
      </w:r>
    </w:p>
    <w:p w:rsidR="288CD7D0" w:rsidRDefault="288CD7D0" w14:paraId="13216966" w14:textId="1B22E3D7"/>
    <w:p w:rsidR="6E3D4302" w:rsidP="1E6148FA" w:rsidRDefault="6E3D4302" w14:paraId="4DC6036D" w14:textId="18CAF561">
      <w:pPr>
        <w:rPr>
          <w:b w:val="1"/>
          <w:bCs w:val="1"/>
        </w:rPr>
      </w:pPr>
      <w:r w:rsidRPr="288CD7D0" w:rsidR="6E3D4302">
        <w:rPr>
          <w:b w:val="1"/>
          <w:bCs w:val="1"/>
        </w:rPr>
        <w:t>Is Greater Manchester getting any more money</w:t>
      </w:r>
      <w:r w:rsidRPr="288CD7D0" w:rsidR="3BDBC33D">
        <w:rPr>
          <w:b w:val="1"/>
          <w:bCs w:val="1"/>
        </w:rPr>
        <w:t xml:space="preserve"> under this new system</w:t>
      </w:r>
      <w:r w:rsidRPr="288CD7D0" w:rsidR="6E3D4302">
        <w:rPr>
          <w:b w:val="1"/>
          <w:bCs w:val="1"/>
        </w:rPr>
        <w:t>?</w:t>
      </w:r>
    </w:p>
    <w:p w:rsidR="14981269" w:rsidP="1E6148FA" w:rsidRDefault="460A03C8" w14:paraId="7FB0361B" w14:textId="371884BF">
      <w:pPr>
        <w:rPr>
          <w:rFonts w:ascii="Aptos" w:hAnsi="Aptos"/>
        </w:rPr>
      </w:pPr>
      <w:r w:rsidR="315B9435">
        <w:rPr/>
        <w:t>This is not new money. Most of the money already flowed into</w:t>
      </w:r>
      <w:r w:rsidR="17218F7D">
        <w:rPr/>
        <w:t xml:space="preserve"> </w:t>
      </w:r>
      <w:r w:rsidR="2E103E98">
        <w:rPr/>
        <w:t>the</w:t>
      </w:r>
      <w:r w:rsidR="315B9435">
        <w:rPr/>
        <w:t xml:space="preserve"> GMCA </w:t>
      </w:r>
      <w:r w:rsidR="2E103E98">
        <w:rPr/>
        <w:t>through dozens of separate funding streams</w:t>
      </w:r>
      <w:r w:rsidR="7F03618A">
        <w:rPr/>
        <w:t xml:space="preserve"> from different Government departments</w:t>
      </w:r>
      <w:r w:rsidR="2E103E98">
        <w:rPr/>
        <w:t xml:space="preserve">, and </w:t>
      </w:r>
      <w:r w:rsidR="315B9435">
        <w:rPr/>
        <w:t xml:space="preserve">the difference </w:t>
      </w:r>
      <w:r w:rsidR="1C5A5EEC">
        <w:rPr/>
        <w:t xml:space="preserve">is that </w:t>
      </w:r>
      <w:r w:rsidR="7FFEB731">
        <w:rPr/>
        <w:t xml:space="preserve">it will now </w:t>
      </w:r>
      <w:r w:rsidR="1C5A5EEC">
        <w:rPr/>
        <w:t xml:space="preserve">all </w:t>
      </w:r>
      <w:r w:rsidR="7FFEB731">
        <w:rPr/>
        <w:t xml:space="preserve">come </w:t>
      </w:r>
      <w:r w:rsidR="1C5A5EEC">
        <w:rPr/>
        <w:t>in a single funding settlement</w:t>
      </w:r>
      <w:r w:rsidR="2F903AC1">
        <w:rPr/>
        <w:t>. The</w:t>
      </w:r>
      <w:r w:rsidRPr="288CD7D0" w:rsidR="315B9435">
        <w:rPr>
          <w:rFonts w:ascii="Aptos" w:hAnsi="Aptos"/>
        </w:rPr>
        <w:t xml:space="preserve"> Government is working with us to agree </w:t>
      </w:r>
      <w:r w:rsidRPr="288CD7D0" w:rsidR="08D176FB">
        <w:rPr>
          <w:rFonts w:ascii="Aptos" w:hAnsi="Aptos"/>
        </w:rPr>
        <w:t xml:space="preserve">the </w:t>
      </w:r>
      <w:r w:rsidRPr="288CD7D0" w:rsidR="315B9435">
        <w:rPr>
          <w:rFonts w:ascii="Aptos" w:hAnsi="Aptos"/>
        </w:rPr>
        <w:t>broad</w:t>
      </w:r>
      <w:r w:rsidRPr="288CD7D0" w:rsidR="3A951D10">
        <w:rPr>
          <w:rFonts w:ascii="Aptos" w:hAnsi="Aptos"/>
        </w:rPr>
        <w:t xml:space="preserve"> delivery</w:t>
      </w:r>
      <w:r w:rsidRPr="288CD7D0" w:rsidR="315B9435">
        <w:rPr>
          <w:rFonts w:ascii="Aptos" w:hAnsi="Aptos"/>
        </w:rPr>
        <w:t xml:space="preserve"> outcomes </w:t>
      </w:r>
      <w:r w:rsidRPr="288CD7D0" w:rsidR="6F7731D8">
        <w:rPr>
          <w:rFonts w:ascii="Aptos" w:hAnsi="Aptos"/>
        </w:rPr>
        <w:t xml:space="preserve">of the funding, </w:t>
      </w:r>
      <w:r w:rsidRPr="288CD7D0" w:rsidR="14F33007">
        <w:rPr>
          <w:rFonts w:ascii="Aptos" w:hAnsi="Aptos"/>
        </w:rPr>
        <w:t>and</w:t>
      </w:r>
      <w:r w:rsidRPr="288CD7D0" w:rsidR="6F7731D8">
        <w:rPr>
          <w:rFonts w:ascii="Aptos" w:hAnsi="Aptos"/>
        </w:rPr>
        <w:t xml:space="preserve"> the GMCA </w:t>
      </w:r>
      <w:r w:rsidRPr="288CD7D0" w:rsidR="5DA9BF5D">
        <w:rPr>
          <w:rFonts w:ascii="Aptos" w:hAnsi="Aptos"/>
        </w:rPr>
        <w:t>will</w:t>
      </w:r>
      <w:r w:rsidRPr="288CD7D0" w:rsidR="6F7731D8">
        <w:rPr>
          <w:rFonts w:ascii="Aptos" w:hAnsi="Aptos"/>
        </w:rPr>
        <w:t xml:space="preserve"> </w:t>
      </w:r>
      <w:r w:rsidRPr="288CD7D0" w:rsidR="5DA9BF5D">
        <w:rPr>
          <w:rFonts w:ascii="Aptos" w:hAnsi="Aptos"/>
        </w:rPr>
        <w:t>spend</w:t>
      </w:r>
      <w:r w:rsidRPr="288CD7D0" w:rsidR="705B0344">
        <w:rPr>
          <w:rFonts w:ascii="Aptos" w:hAnsi="Aptos"/>
        </w:rPr>
        <w:t xml:space="preserve"> the</w:t>
      </w:r>
      <w:r w:rsidRPr="288CD7D0" w:rsidR="5DA9BF5D">
        <w:rPr>
          <w:rFonts w:ascii="Aptos" w:hAnsi="Aptos"/>
        </w:rPr>
        <w:t xml:space="preserve"> </w:t>
      </w:r>
      <w:r w:rsidRPr="288CD7D0" w:rsidR="6F7731D8">
        <w:rPr>
          <w:rFonts w:ascii="Aptos" w:hAnsi="Aptos"/>
        </w:rPr>
        <w:t>money to meet those outcomes. Previously</w:t>
      </w:r>
      <w:r w:rsidRPr="288CD7D0" w:rsidR="2B52E4FA">
        <w:rPr>
          <w:rFonts w:ascii="Aptos" w:hAnsi="Aptos"/>
        </w:rPr>
        <w:t>,</w:t>
      </w:r>
      <w:r w:rsidRPr="288CD7D0" w:rsidR="6F7731D8">
        <w:rPr>
          <w:rFonts w:ascii="Aptos" w:hAnsi="Aptos"/>
        </w:rPr>
        <w:t xml:space="preserve"> the</w:t>
      </w:r>
      <w:r w:rsidRPr="288CD7D0" w:rsidR="315B9435">
        <w:rPr>
          <w:rFonts w:ascii="Aptos" w:hAnsi="Aptos"/>
        </w:rPr>
        <w:t xml:space="preserve"> Government dictat</w:t>
      </w:r>
      <w:r w:rsidRPr="288CD7D0" w:rsidR="711778BA">
        <w:rPr>
          <w:rFonts w:ascii="Aptos" w:hAnsi="Aptos"/>
        </w:rPr>
        <w:t>ed</w:t>
      </w:r>
      <w:r w:rsidRPr="288CD7D0" w:rsidR="315B9435">
        <w:rPr>
          <w:rFonts w:ascii="Aptos" w:hAnsi="Aptos"/>
        </w:rPr>
        <w:t xml:space="preserve"> </w:t>
      </w:r>
      <w:r w:rsidRPr="288CD7D0" w:rsidR="315B9435">
        <w:rPr>
          <w:rFonts w:ascii="Aptos" w:hAnsi="Aptos"/>
        </w:rPr>
        <w:t xml:space="preserve">how GMCA </w:t>
      </w:r>
      <w:r w:rsidRPr="288CD7D0" w:rsidR="315B9435">
        <w:rPr>
          <w:rFonts w:ascii="Aptos" w:hAnsi="Aptos"/>
        </w:rPr>
        <w:t>spen</w:t>
      </w:r>
      <w:r w:rsidRPr="288CD7D0" w:rsidR="783A45E1">
        <w:rPr>
          <w:rFonts w:ascii="Aptos" w:hAnsi="Aptos"/>
        </w:rPr>
        <w:t>t</w:t>
      </w:r>
      <w:r w:rsidRPr="288CD7D0" w:rsidR="2B275618">
        <w:rPr>
          <w:rFonts w:ascii="Aptos" w:hAnsi="Aptos"/>
        </w:rPr>
        <w:t xml:space="preserve"> its</w:t>
      </w:r>
      <w:r w:rsidRPr="288CD7D0" w:rsidR="2B275618">
        <w:rPr>
          <w:rFonts w:ascii="Aptos" w:hAnsi="Aptos"/>
        </w:rPr>
        <w:t xml:space="preserve"> budget, </w:t>
      </w:r>
      <w:r w:rsidRPr="288CD7D0" w:rsidR="1214E152">
        <w:rPr>
          <w:rFonts w:ascii="Aptos" w:hAnsi="Aptos"/>
        </w:rPr>
        <w:t>whereas</w:t>
      </w:r>
      <w:r w:rsidRPr="288CD7D0" w:rsidR="2B275618">
        <w:rPr>
          <w:rFonts w:ascii="Aptos" w:hAnsi="Aptos"/>
        </w:rPr>
        <w:t xml:space="preserve"> now we will have much more flexibility on spending.</w:t>
      </w:r>
    </w:p>
    <w:p w:rsidR="14981269" w:rsidP="1E6148FA" w:rsidRDefault="14981269" w14:paraId="04B14D97" w14:textId="43E57CEE">
      <w:pPr>
        <w:rPr>
          <w:rFonts w:ascii="Aptos" w:hAnsi="Aptos"/>
        </w:rPr>
      </w:pPr>
      <w:r w:rsidRPr="1E6148FA">
        <w:rPr>
          <w:rFonts w:ascii="Aptos" w:hAnsi="Aptos"/>
          <w:b/>
          <w:bCs/>
        </w:rPr>
        <w:t>Are there any new funding streams that Greater Manchester is getting</w:t>
      </w:r>
      <w:r w:rsidRPr="1E6148FA" w:rsidR="79FA2E42">
        <w:rPr>
          <w:rFonts w:ascii="Aptos" w:hAnsi="Aptos"/>
          <w:b/>
          <w:bCs/>
        </w:rPr>
        <w:t>?</w:t>
      </w:r>
    </w:p>
    <w:p w:rsidR="14981269" w:rsidP="1E6148FA" w:rsidRDefault="460A03C8" w14:paraId="6F1DEA23" w14:textId="16DBD183">
      <w:pPr>
        <w:rPr>
          <w:rFonts w:ascii="Aptos" w:hAnsi="Aptos"/>
        </w:rPr>
      </w:pPr>
      <w:r w:rsidRPr="5014E3E7">
        <w:rPr>
          <w:rFonts w:ascii="Aptos" w:hAnsi="Aptos"/>
        </w:rPr>
        <w:t>G</w:t>
      </w:r>
      <w:r w:rsidRPr="5014E3E7" w:rsidR="2596628B">
        <w:rPr>
          <w:rFonts w:ascii="Aptos" w:hAnsi="Aptos"/>
        </w:rPr>
        <w:t xml:space="preserve">reater </w:t>
      </w:r>
      <w:r w:rsidRPr="5014E3E7">
        <w:rPr>
          <w:rFonts w:ascii="Aptos" w:hAnsi="Aptos"/>
        </w:rPr>
        <w:t>M</w:t>
      </w:r>
      <w:r w:rsidRPr="5014E3E7" w:rsidR="0ECA5E63">
        <w:rPr>
          <w:rFonts w:ascii="Aptos" w:hAnsi="Aptos"/>
        </w:rPr>
        <w:t>anchester</w:t>
      </w:r>
      <w:r w:rsidRPr="5014E3E7">
        <w:rPr>
          <w:rFonts w:ascii="Aptos" w:hAnsi="Aptos"/>
        </w:rPr>
        <w:t xml:space="preserve"> </w:t>
      </w:r>
      <w:r w:rsidRPr="5014E3E7" w:rsidR="2D15F292">
        <w:rPr>
          <w:rFonts w:ascii="Aptos" w:hAnsi="Aptos"/>
        </w:rPr>
        <w:t>is</w:t>
      </w:r>
      <w:r w:rsidRPr="5014E3E7">
        <w:rPr>
          <w:rFonts w:ascii="Aptos" w:hAnsi="Aptos"/>
        </w:rPr>
        <w:t xml:space="preserve"> not getting new funding streams in the sense of Government creating new funding commitment</w:t>
      </w:r>
      <w:r w:rsidRPr="5014E3E7" w:rsidR="270B7431">
        <w:rPr>
          <w:rFonts w:ascii="Aptos" w:hAnsi="Aptos"/>
        </w:rPr>
        <w:t>s</w:t>
      </w:r>
      <w:r w:rsidRPr="5014E3E7">
        <w:rPr>
          <w:rFonts w:ascii="Aptos" w:hAnsi="Aptos"/>
        </w:rPr>
        <w:t>.</w:t>
      </w:r>
      <w:r w:rsidRPr="5014E3E7" w:rsidR="7D589EEB">
        <w:rPr>
          <w:rFonts w:ascii="Aptos" w:hAnsi="Aptos"/>
        </w:rPr>
        <w:t xml:space="preserve"> Instead</w:t>
      </w:r>
      <w:r w:rsidRPr="5014E3E7" w:rsidR="496EC631">
        <w:rPr>
          <w:rFonts w:ascii="Aptos" w:hAnsi="Aptos"/>
        </w:rPr>
        <w:t>, e</w:t>
      </w:r>
      <w:r w:rsidRPr="5014E3E7">
        <w:rPr>
          <w:rFonts w:ascii="Aptos" w:hAnsi="Aptos"/>
        </w:rPr>
        <w:t>xisting funds - while not 'new' - will now be subject to much greater local, G</w:t>
      </w:r>
      <w:r w:rsidRPr="5014E3E7" w:rsidR="797B002F">
        <w:rPr>
          <w:rFonts w:ascii="Aptos" w:hAnsi="Aptos"/>
        </w:rPr>
        <w:t xml:space="preserve">reater </w:t>
      </w:r>
      <w:r w:rsidRPr="5014E3E7">
        <w:rPr>
          <w:rFonts w:ascii="Aptos" w:hAnsi="Aptos"/>
        </w:rPr>
        <w:t>M</w:t>
      </w:r>
      <w:r w:rsidRPr="5014E3E7" w:rsidR="58D92598">
        <w:rPr>
          <w:rFonts w:ascii="Aptos" w:hAnsi="Aptos"/>
        </w:rPr>
        <w:t>anchester</w:t>
      </w:r>
      <w:r w:rsidRPr="5014E3E7">
        <w:rPr>
          <w:rFonts w:ascii="Aptos" w:hAnsi="Aptos"/>
        </w:rPr>
        <w:t xml:space="preserve"> control. </w:t>
      </w:r>
    </w:p>
    <w:p w:rsidR="14981269" w:rsidP="1E6148FA" w:rsidRDefault="460A03C8" w14:paraId="7DD35C69" w14:textId="5544ACA3">
      <w:pPr>
        <w:rPr>
          <w:rFonts w:ascii="Aptos" w:hAnsi="Aptos"/>
        </w:rPr>
      </w:pPr>
      <w:r w:rsidRPr="5014E3E7">
        <w:rPr>
          <w:rFonts w:ascii="Aptos" w:hAnsi="Aptos"/>
        </w:rPr>
        <w:t>National funds which are in scope of the settlement have had formulae applied to them to work out the share which should go to GMCA and W</w:t>
      </w:r>
      <w:r w:rsidRPr="5014E3E7" w:rsidR="4DB56884">
        <w:rPr>
          <w:rFonts w:ascii="Aptos" w:hAnsi="Aptos"/>
        </w:rPr>
        <w:t xml:space="preserve">est Midlands Combined Authority (WMCA) </w:t>
      </w:r>
      <w:r w:rsidRPr="5014E3E7">
        <w:rPr>
          <w:rFonts w:ascii="Aptos" w:hAnsi="Aptos"/>
        </w:rPr>
        <w:t xml:space="preserve">under the terms of the devolution deal. </w:t>
      </w:r>
      <w:r w:rsidRPr="137F1BC2" w:rsidR="6F8C19C3">
        <w:rPr>
          <w:rFonts w:ascii="Aptos" w:hAnsi="Aptos"/>
        </w:rPr>
        <w:t xml:space="preserve">Further detailed information can be found in the </w:t>
      </w:r>
      <w:hyperlink r:id="rId9">
        <w:r w:rsidRPr="137F1BC2" w:rsidR="6F8C19C3">
          <w:rPr>
            <w:rStyle w:val="Hyperlink"/>
            <w:rFonts w:ascii="Aptos" w:hAnsi="Aptos"/>
          </w:rPr>
          <w:t>paper published by the Treasury on the Integrated Settlements</w:t>
        </w:r>
      </w:hyperlink>
      <w:r w:rsidRPr="5014E3E7">
        <w:rPr>
          <w:rFonts w:ascii="Aptos" w:hAnsi="Aptos"/>
        </w:rPr>
        <w:t>.</w:t>
      </w:r>
    </w:p>
    <w:p w:rsidR="00C76EB0" w:rsidP="137F1BC2" w:rsidRDefault="460A03C8" w14:paraId="51010FC8" w14:textId="16AA1C34">
      <w:pPr>
        <w:spacing w:after="0"/>
        <w:rPr>
          <w:rFonts w:ascii="Aptos" w:hAnsi="Aptos"/>
        </w:rPr>
      </w:pPr>
      <w:r w:rsidRPr="5014E3E7">
        <w:rPr>
          <w:rFonts w:ascii="Aptos" w:hAnsi="Aptos"/>
        </w:rPr>
        <w:t xml:space="preserve">In other parts of the country, the </w:t>
      </w:r>
      <w:r w:rsidRPr="137F1BC2">
        <w:rPr>
          <w:rFonts w:ascii="Aptos" w:hAnsi="Aptos"/>
        </w:rPr>
        <w:t>decision</w:t>
      </w:r>
      <w:r w:rsidRPr="137F1BC2" w:rsidR="4F78BB1C">
        <w:rPr>
          <w:rFonts w:ascii="Aptos" w:hAnsi="Aptos"/>
        </w:rPr>
        <w:t>s</w:t>
      </w:r>
      <w:r w:rsidRPr="5014E3E7">
        <w:rPr>
          <w:rFonts w:ascii="Aptos" w:hAnsi="Aptos"/>
        </w:rPr>
        <w:t xml:space="preserve"> on how these national funds are spent </w:t>
      </w:r>
      <w:r w:rsidRPr="137F1BC2" w:rsidR="63964FC0">
        <w:rPr>
          <w:rFonts w:ascii="Aptos" w:hAnsi="Aptos"/>
        </w:rPr>
        <w:t xml:space="preserve">are </w:t>
      </w:r>
      <w:r w:rsidRPr="5014E3E7">
        <w:rPr>
          <w:rFonts w:ascii="Aptos" w:hAnsi="Aptos"/>
        </w:rPr>
        <w:t xml:space="preserve">still </w:t>
      </w:r>
      <w:r w:rsidRPr="137F1BC2" w:rsidR="63964FC0">
        <w:rPr>
          <w:rFonts w:ascii="Aptos" w:hAnsi="Aptos"/>
        </w:rPr>
        <w:t>made</w:t>
      </w:r>
      <w:r w:rsidRPr="5014E3E7">
        <w:rPr>
          <w:rFonts w:ascii="Aptos" w:hAnsi="Aptos"/>
        </w:rPr>
        <w:t xml:space="preserve"> in Whitehall</w:t>
      </w:r>
      <w:r w:rsidRPr="5014E3E7" w:rsidR="16E7EE6F">
        <w:rPr>
          <w:rFonts w:ascii="Aptos" w:hAnsi="Aptos"/>
        </w:rPr>
        <w:t>.</w:t>
      </w:r>
      <w:r w:rsidRPr="5014E3E7">
        <w:rPr>
          <w:rFonts w:ascii="Aptos" w:hAnsi="Aptos"/>
        </w:rPr>
        <w:t xml:space="preserve"> </w:t>
      </w:r>
      <w:r w:rsidRPr="137F1BC2" w:rsidR="16E7EE6F">
        <w:rPr>
          <w:rFonts w:ascii="Aptos" w:hAnsi="Aptos"/>
        </w:rPr>
        <w:t>W</w:t>
      </w:r>
      <w:r w:rsidRPr="137F1BC2">
        <w:rPr>
          <w:rFonts w:ascii="Aptos" w:hAnsi="Aptos"/>
        </w:rPr>
        <w:t>hat we have gained is the ability to decide how to spend this money</w:t>
      </w:r>
      <w:r w:rsidRPr="137F1BC2" w:rsidR="63730C5E">
        <w:rPr>
          <w:rFonts w:ascii="Aptos" w:hAnsi="Aptos"/>
        </w:rPr>
        <w:t>.</w:t>
      </w:r>
    </w:p>
    <w:p w:rsidR="1CCAC623" w:rsidP="5014E3E7" w:rsidRDefault="1DC9DF43" w14:paraId="3FCBDCE3" w14:textId="7031422A">
      <w:pPr>
        <w:spacing w:after="0"/>
        <w:rPr>
          <w:rFonts w:ascii="Aptos" w:hAnsi="Aptos" w:eastAsia="Aptos" w:cs="Aptos"/>
          <w:b/>
          <w:bCs/>
        </w:rPr>
      </w:pPr>
      <w:r w:rsidRPr="5014E3E7">
        <w:rPr>
          <w:rFonts w:ascii="Aptos" w:hAnsi="Aptos" w:eastAsia="Aptos" w:cs="Aptos"/>
          <w:b/>
          <w:bCs/>
        </w:rPr>
        <w:t xml:space="preserve">Has the </w:t>
      </w:r>
      <w:r w:rsidRPr="137F1BC2" w:rsidR="4FA0B3FF">
        <w:rPr>
          <w:rFonts w:ascii="Aptos" w:hAnsi="Aptos" w:eastAsia="Aptos" w:cs="Aptos"/>
          <w:b/>
          <w:bCs/>
        </w:rPr>
        <w:t>I</w:t>
      </w:r>
      <w:r w:rsidRPr="137F1BC2">
        <w:rPr>
          <w:rFonts w:ascii="Aptos" w:hAnsi="Aptos" w:eastAsia="Aptos" w:cs="Aptos"/>
          <w:b/>
          <w:bCs/>
        </w:rPr>
        <w:t xml:space="preserve">ntegrated </w:t>
      </w:r>
      <w:r w:rsidRPr="137F1BC2" w:rsidR="6608D51B">
        <w:rPr>
          <w:rFonts w:ascii="Aptos" w:hAnsi="Aptos" w:eastAsia="Aptos" w:cs="Aptos"/>
          <w:b/>
          <w:bCs/>
        </w:rPr>
        <w:t>S</w:t>
      </w:r>
      <w:r w:rsidRPr="137F1BC2">
        <w:rPr>
          <w:rFonts w:ascii="Aptos" w:hAnsi="Aptos" w:eastAsia="Aptos" w:cs="Aptos"/>
          <w:b/>
          <w:bCs/>
        </w:rPr>
        <w:t>ettlement</w:t>
      </w:r>
      <w:r w:rsidRPr="5014E3E7">
        <w:rPr>
          <w:rFonts w:ascii="Aptos" w:hAnsi="Aptos" w:eastAsia="Aptos" w:cs="Aptos"/>
          <w:b/>
          <w:bCs/>
        </w:rPr>
        <w:t xml:space="preserve"> had any impact on budget setting this year? If so, what?</w:t>
      </w:r>
    </w:p>
    <w:p w:rsidR="5014E3E7" w:rsidP="5014E3E7" w:rsidRDefault="5014E3E7" w14:paraId="2BADF82F" w14:textId="2E27569B">
      <w:pPr>
        <w:spacing w:after="0"/>
        <w:ind w:left="720"/>
        <w:rPr>
          <w:rFonts w:ascii="Aptos" w:hAnsi="Aptos" w:eastAsia="Aptos" w:cs="Aptos"/>
        </w:rPr>
      </w:pPr>
    </w:p>
    <w:p w:rsidR="00C76EB0" w:rsidP="5014E3E7" w:rsidRDefault="05786EFF" w14:paraId="71BC2B4B" w14:textId="1E426638">
      <w:pPr>
        <w:spacing w:after="0"/>
        <w:rPr>
          <w:rFonts w:ascii="Aptos" w:hAnsi="Aptos" w:eastAsia="Aptos" w:cs="Aptos"/>
        </w:rPr>
      </w:pPr>
      <w:r w:rsidRPr="288CD7D0" w:rsidR="204ED89E">
        <w:rPr>
          <w:rFonts w:ascii="Aptos" w:hAnsi="Aptos" w:eastAsia="Aptos" w:cs="Aptos"/>
        </w:rPr>
        <w:t xml:space="preserve">The timing of the </w:t>
      </w:r>
      <w:r w:rsidRPr="288CD7D0" w:rsidR="7E19929C">
        <w:rPr>
          <w:rFonts w:ascii="Aptos" w:hAnsi="Aptos" w:eastAsia="Aptos" w:cs="Aptos"/>
        </w:rPr>
        <w:t>G</w:t>
      </w:r>
      <w:r w:rsidRPr="288CD7D0" w:rsidR="204ED89E">
        <w:rPr>
          <w:rFonts w:ascii="Aptos" w:hAnsi="Aptos" w:eastAsia="Aptos" w:cs="Aptos"/>
        </w:rPr>
        <w:t xml:space="preserve">eneral </w:t>
      </w:r>
      <w:r w:rsidRPr="288CD7D0" w:rsidR="12295E3D">
        <w:rPr>
          <w:rFonts w:ascii="Aptos" w:hAnsi="Aptos" w:eastAsia="Aptos" w:cs="Aptos"/>
        </w:rPr>
        <w:t>E</w:t>
      </w:r>
      <w:r w:rsidRPr="288CD7D0" w:rsidR="204ED89E">
        <w:rPr>
          <w:rFonts w:ascii="Aptos" w:hAnsi="Aptos" w:eastAsia="Aptos" w:cs="Aptos"/>
        </w:rPr>
        <w:t>lection</w:t>
      </w:r>
      <w:r w:rsidRPr="288CD7D0" w:rsidR="204ED89E">
        <w:rPr>
          <w:rFonts w:ascii="Aptos" w:hAnsi="Aptos" w:eastAsia="Aptos" w:cs="Aptos"/>
        </w:rPr>
        <w:t xml:space="preserve"> and </w:t>
      </w:r>
      <w:r w:rsidRPr="288CD7D0" w:rsidR="53D4A54A">
        <w:rPr>
          <w:rFonts w:ascii="Aptos" w:hAnsi="Aptos" w:eastAsia="Aptos" w:cs="Aptos"/>
        </w:rPr>
        <w:t>S</w:t>
      </w:r>
      <w:r w:rsidRPr="288CD7D0" w:rsidR="204ED89E">
        <w:rPr>
          <w:rFonts w:ascii="Aptos" w:hAnsi="Aptos" w:eastAsia="Aptos" w:cs="Aptos"/>
        </w:rPr>
        <w:t xml:space="preserve">pending </w:t>
      </w:r>
      <w:r w:rsidRPr="288CD7D0" w:rsidR="566A9867">
        <w:rPr>
          <w:rFonts w:ascii="Aptos" w:hAnsi="Aptos" w:eastAsia="Aptos" w:cs="Aptos"/>
        </w:rPr>
        <w:t>Re</w:t>
      </w:r>
      <w:r w:rsidRPr="288CD7D0" w:rsidR="204ED89E">
        <w:rPr>
          <w:rFonts w:ascii="Aptos" w:hAnsi="Aptos" w:eastAsia="Aptos" w:cs="Aptos"/>
        </w:rPr>
        <w:t>view</w:t>
      </w:r>
      <w:r w:rsidRPr="288CD7D0" w:rsidR="204ED89E">
        <w:rPr>
          <w:rFonts w:ascii="Aptos" w:hAnsi="Aptos" w:eastAsia="Aptos" w:cs="Aptos"/>
        </w:rPr>
        <w:t xml:space="preserve"> has meant that the </w:t>
      </w:r>
      <w:r w:rsidRPr="288CD7D0" w:rsidR="268B7BFE">
        <w:rPr>
          <w:rFonts w:ascii="Aptos" w:hAnsi="Aptos" w:eastAsia="Aptos" w:cs="Aptos"/>
        </w:rPr>
        <w:t>I</w:t>
      </w:r>
      <w:r w:rsidRPr="288CD7D0" w:rsidR="204ED89E">
        <w:rPr>
          <w:rFonts w:ascii="Aptos" w:hAnsi="Aptos" w:eastAsia="Aptos" w:cs="Aptos"/>
        </w:rPr>
        <w:t xml:space="preserve">ntegrated </w:t>
      </w:r>
      <w:r w:rsidRPr="288CD7D0" w:rsidR="5F646739">
        <w:rPr>
          <w:rFonts w:ascii="Aptos" w:hAnsi="Aptos" w:eastAsia="Aptos" w:cs="Aptos"/>
        </w:rPr>
        <w:t>S</w:t>
      </w:r>
      <w:r w:rsidRPr="288CD7D0" w:rsidR="204ED89E">
        <w:rPr>
          <w:rFonts w:ascii="Aptos" w:hAnsi="Aptos" w:eastAsia="Aptos" w:cs="Aptos"/>
        </w:rPr>
        <w:t>ettlement</w:t>
      </w:r>
      <w:r w:rsidRPr="288CD7D0" w:rsidR="204ED89E">
        <w:rPr>
          <w:rFonts w:ascii="Aptos" w:hAnsi="Aptos" w:eastAsia="Aptos" w:cs="Aptos"/>
        </w:rPr>
        <w:t xml:space="preserve"> for 2025/26 was negotiated </w:t>
      </w:r>
      <w:r w:rsidRPr="288CD7D0" w:rsidR="204ED89E">
        <w:rPr>
          <w:rFonts w:ascii="Aptos" w:hAnsi="Aptos" w:eastAsia="Aptos" w:cs="Aptos"/>
        </w:rPr>
        <w:t>very close</w:t>
      </w:r>
      <w:r w:rsidRPr="288CD7D0" w:rsidR="204ED89E">
        <w:rPr>
          <w:rFonts w:ascii="Aptos" w:hAnsi="Aptos" w:eastAsia="Aptos" w:cs="Aptos"/>
        </w:rPr>
        <w:t xml:space="preserve"> to the start of the </w:t>
      </w:r>
      <w:r w:rsidRPr="288CD7D0" w:rsidR="204ED89E">
        <w:rPr>
          <w:rFonts w:ascii="Aptos" w:hAnsi="Aptos" w:eastAsia="Aptos" w:cs="Aptos"/>
        </w:rPr>
        <w:t>financial year</w:t>
      </w:r>
      <w:r w:rsidRPr="288CD7D0" w:rsidR="204ED89E">
        <w:rPr>
          <w:rFonts w:ascii="Aptos" w:hAnsi="Aptos" w:eastAsia="Aptos" w:cs="Aptos"/>
        </w:rPr>
        <w:t xml:space="preserve">, when </w:t>
      </w:r>
      <w:r w:rsidRPr="288CD7D0" w:rsidR="2FEE082D">
        <w:rPr>
          <w:rFonts w:ascii="Aptos" w:hAnsi="Aptos" w:eastAsia="Aptos" w:cs="Aptos"/>
        </w:rPr>
        <w:t xml:space="preserve">budgets and </w:t>
      </w:r>
      <w:r w:rsidRPr="288CD7D0" w:rsidR="204ED89E">
        <w:rPr>
          <w:rFonts w:ascii="Aptos" w:hAnsi="Aptos" w:eastAsia="Aptos" w:cs="Aptos"/>
        </w:rPr>
        <w:t xml:space="preserve">delivery plans in many areas had already had to be set. However, the </w:t>
      </w:r>
      <w:r w:rsidRPr="288CD7D0" w:rsidR="760C008F">
        <w:rPr>
          <w:rFonts w:ascii="Aptos" w:hAnsi="Aptos" w:eastAsia="Aptos" w:cs="Aptos"/>
        </w:rPr>
        <w:t>Integrated S</w:t>
      </w:r>
      <w:r w:rsidRPr="288CD7D0" w:rsidR="204ED89E">
        <w:rPr>
          <w:rFonts w:ascii="Aptos" w:hAnsi="Aptos" w:eastAsia="Aptos" w:cs="Aptos"/>
        </w:rPr>
        <w:t>ettlement</w:t>
      </w:r>
      <w:r w:rsidRPr="288CD7D0" w:rsidR="204ED89E">
        <w:rPr>
          <w:rFonts w:ascii="Aptos" w:hAnsi="Aptos" w:eastAsia="Aptos" w:cs="Aptos"/>
        </w:rPr>
        <w:t xml:space="preserve"> will have an impact in 2025/26 in terms of flexibility around </w:t>
      </w:r>
      <w:r w:rsidRPr="288CD7D0" w:rsidR="204ED89E">
        <w:rPr>
          <w:rFonts w:ascii="Aptos" w:hAnsi="Aptos" w:eastAsia="Aptos" w:cs="Aptos"/>
        </w:rPr>
        <w:t>delivery</w:t>
      </w:r>
      <w:r w:rsidRPr="288CD7D0" w:rsidR="379A1B4A">
        <w:rPr>
          <w:rFonts w:ascii="Aptos" w:hAnsi="Aptos" w:eastAsia="Aptos" w:cs="Aptos"/>
        </w:rPr>
        <w:t xml:space="preserve">, for example in not having to meet national funding requirements or being able to make changes between programmes </w:t>
      </w:r>
      <w:r w:rsidRPr="288CD7D0" w:rsidR="379A1B4A">
        <w:rPr>
          <w:rFonts w:ascii="Aptos" w:hAnsi="Aptos" w:eastAsia="Aptos" w:cs="Aptos"/>
        </w:rPr>
        <w:t>during the year</w:t>
      </w:r>
      <w:r w:rsidRPr="288CD7D0" w:rsidR="204ED89E">
        <w:rPr>
          <w:rFonts w:ascii="Aptos" w:hAnsi="Aptos" w:eastAsia="Aptos" w:cs="Aptos"/>
        </w:rPr>
        <w:t>.</w:t>
      </w:r>
    </w:p>
    <w:p w:rsidRPr="00C76EB0" w:rsidR="00C76EB0" w:rsidP="00C76EB0" w:rsidRDefault="00C76EB0" w14:paraId="0239B9B7" w14:textId="77777777">
      <w:pPr>
        <w:spacing w:after="0"/>
        <w:rPr>
          <w:rFonts w:ascii="Aptos" w:hAnsi="Aptos" w:eastAsia="Aptos" w:cs="Aptos"/>
        </w:rPr>
      </w:pPr>
    </w:p>
    <w:p w:rsidR="1CCAC623" w:rsidP="5014E3E7" w:rsidRDefault="63D0691D" w14:paraId="365ABE9C" w14:textId="6976AF22">
      <w:pPr>
        <w:spacing w:after="0"/>
        <w:rPr>
          <w:rFonts w:ascii="Aptos" w:hAnsi="Aptos" w:eastAsia="Aptos" w:cs="Aptos"/>
          <w:b/>
          <w:bCs/>
        </w:rPr>
      </w:pPr>
      <w:r w:rsidRPr="5014E3E7">
        <w:rPr>
          <w:rFonts w:ascii="Aptos" w:hAnsi="Aptos" w:eastAsia="Aptos" w:cs="Aptos"/>
          <w:b/>
          <w:bCs/>
        </w:rPr>
        <w:t>Can</w:t>
      </w:r>
      <w:r w:rsidRPr="5014E3E7" w:rsidR="1DC9DF43">
        <w:rPr>
          <w:rFonts w:ascii="Aptos" w:hAnsi="Aptos" w:eastAsia="Aptos" w:cs="Aptos"/>
          <w:b/>
          <w:bCs/>
        </w:rPr>
        <w:t xml:space="preserve"> capital funding be used as revenue</w:t>
      </w:r>
      <w:r w:rsidRPr="5014E3E7" w:rsidR="252B5F7F">
        <w:rPr>
          <w:rFonts w:ascii="Aptos" w:hAnsi="Aptos" w:eastAsia="Aptos" w:cs="Aptos"/>
          <w:b/>
          <w:bCs/>
        </w:rPr>
        <w:t xml:space="preserve">? </w:t>
      </w:r>
    </w:p>
    <w:p w:rsidR="5014E3E7" w:rsidP="5014E3E7" w:rsidRDefault="5014E3E7" w14:paraId="57D3C9DA" w14:textId="747822EF">
      <w:pPr>
        <w:spacing w:after="0"/>
        <w:ind w:left="709"/>
        <w:rPr>
          <w:rFonts w:ascii="Aptos" w:hAnsi="Aptos" w:eastAsia="Aptos" w:cs="Aptos"/>
        </w:rPr>
      </w:pPr>
    </w:p>
    <w:p w:rsidR="00C76EB0" w:rsidP="5014E3E7" w:rsidRDefault="3F44E7EF" w14:paraId="66DD89D8" w14:textId="06C668B0">
      <w:pPr>
        <w:spacing w:after="0"/>
        <w:rPr>
          <w:rFonts w:ascii="Aptos" w:hAnsi="Aptos" w:eastAsia="Aptos" w:cs="Aptos"/>
        </w:rPr>
      </w:pPr>
      <w:r w:rsidRPr="137F1BC2">
        <w:rPr>
          <w:rFonts w:ascii="Aptos" w:hAnsi="Aptos" w:eastAsia="Aptos" w:cs="Aptos"/>
        </w:rPr>
        <w:t>Up</w:t>
      </w:r>
      <w:r w:rsidRPr="5014E3E7" w:rsidR="04B940AC">
        <w:rPr>
          <w:rFonts w:ascii="Aptos" w:hAnsi="Aptos" w:eastAsia="Aptos" w:cs="Aptos"/>
        </w:rPr>
        <w:t xml:space="preserve"> to 10% of capital funding in each pillar </w:t>
      </w:r>
      <w:r w:rsidRPr="137F1BC2" w:rsidR="413605D2">
        <w:rPr>
          <w:rFonts w:ascii="Aptos" w:hAnsi="Aptos" w:eastAsia="Aptos" w:cs="Aptos"/>
        </w:rPr>
        <w:t>of the Integrated Settlement</w:t>
      </w:r>
      <w:r w:rsidRPr="137F1BC2" w:rsidR="04B940AC">
        <w:rPr>
          <w:rFonts w:ascii="Aptos" w:hAnsi="Aptos" w:eastAsia="Aptos" w:cs="Aptos"/>
        </w:rPr>
        <w:t xml:space="preserve"> </w:t>
      </w:r>
      <w:r w:rsidRPr="5014E3E7" w:rsidR="04B940AC">
        <w:rPr>
          <w:rFonts w:ascii="Aptos" w:hAnsi="Aptos" w:eastAsia="Aptos" w:cs="Aptos"/>
        </w:rPr>
        <w:t>can be converted to revenue funding.</w:t>
      </w:r>
    </w:p>
    <w:p w:rsidRPr="00C76EB0" w:rsidR="00C76EB0" w:rsidP="00C76EB0" w:rsidRDefault="00C76EB0" w14:paraId="539C27BF" w14:textId="77777777">
      <w:pPr>
        <w:spacing w:after="0"/>
        <w:rPr>
          <w:rFonts w:ascii="Aptos" w:hAnsi="Aptos" w:eastAsia="Aptos" w:cs="Aptos"/>
        </w:rPr>
      </w:pPr>
    </w:p>
    <w:p w:rsidR="1DC9DF43" w:rsidP="5014E3E7" w:rsidRDefault="1DC9DF43" w14:paraId="39ACBAFD" w14:textId="3035D0A6">
      <w:pPr>
        <w:spacing w:after="0"/>
        <w:rPr>
          <w:rFonts w:ascii="Aptos" w:hAnsi="Aptos" w:eastAsia="Aptos" w:cs="Aptos"/>
          <w:b/>
          <w:bCs/>
        </w:rPr>
      </w:pPr>
      <w:r w:rsidRPr="5014E3E7">
        <w:rPr>
          <w:rFonts w:ascii="Aptos" w:hAnsi="Aptos" w:eastAsia="Aptos" w:cs="Aptos"/>
          <w:b/>
          <w:bCs/>
        </w:rPr>
        <w:t xml:space="preserve">The trailblazer agreement included scrutiny of the </w:t>
      </w:r>
      <w:r w:rsidRPr="137F1BC2" w:rsidR="05640819">
        <w:rPr>
          <w:rFonts w:ascii="Aptos" w:hAnsi="Aptos" w:eastAsia="Aptos" w:cs="Aptos"/>
          <w:b/>
          <w:bCs/>
        </w:rPr>
        <w:t>M</w:t>
      </w:r>
      <w:r w:rsidRPr="137F1BC2">
        <w:rPr>
          <w:rFonts w:ascii="Aptos" w:hAnsi="Aptos" w:eastAsia="Aptos" w:cs="Aptos"/>
          <w:b/>
          <w:bCs/>
        </w:rPr>
        <w:t>ayor</w:t>
      </w:r>
      <w:r w:rsidRPr="5014E3E7">
        <w:rPr>
          <w:rFonts w:ascii="Aptos" w:hAnsi="Aptos" w:eastAsia="Aptos" w:cs="Aptos"/>
          <w:b/>
          <w:bCs/>
        </w:rPr>
        <w:t xml:space="preserve"> by MPs. Will that still happen?</w:t>
      </w:r>
    </w:p>
    <w:p w:rsidR="5014E3E7" w:rsidP="5014E3E7" w:rsidRDefault="5014E3E7" w14:paraId="5D6F84DE" w14:textId="0839C84B">
      <w:pPr>
        <w:spacing w:after="0"/>
        <w:rPr>
          <w:rFonts w:ascii="Aptos" w:hAnsi="Aptos" w:eastAsia="Aptos" w:cs="Aptos"/>
          <w:b/>
          <w:bCs/>
        </w:rPr>
      </w:pPr>
    </w:p>
    <w:p w:rsidRPr="00C76EB0" w:rsidR="00C76EB0" w:rsidP="5014E3E7" w:rsidRDefault="0AD99720" w14:paraId="368B328F" w14:textId="6903C12F">
      <w:pPr>
        <w:spacing w:after="0"/>
        <w:rPr>
          <w:rFonts w:ascii="Aptos" w:hAnsi="Aptos" w:eastAsia="Aptos" w:cs="Aptos"/>
        </w:rPr>
      </w:pPr>
      <w:r w:rsidRPr="5014E3E7">
        <w:rPr>
          <w:rFonts w:ascii="Aptos" w:hAnsi="Aptos" w:eastAsia="Aptos" w:cs="Aptos"/>
        </w:rPr>
        <w:t xml:space="preserve">Local MP scrutiny sessions </w:t>
      </w:r>
      <w:r w:rsidRPr="5014E3E7" w:rsidR="4DABE584">
        <w:rPr>
          <w:rFonts w:ascii="Aptos" w:hAnsi="Aptos" w:eastAsia="Aptos" w:cs="Aptos"/>
        </w:rPr>
        <w:t xml:space="preserve">were </w:t>
      </w:r>
      <w:r w:rsidRPr="137F1BC2" w:rsidR="627E7792">
        <w:rPr>
          <w:rFonts w:ascii="Aptos" w:hAnsi="Aptos" w:eastAsia="Aptos" w:cs="Aptos"/>
        </w:rPr>
        <w:t>a proposal put forward</w:t>
      </w:r>
      <w:r w:rsidRPr="5014E3E7" w:rsidR="4DABE584">
        <w:rPr>
          <w:rFonts w:ascii="Aptos" w:hAnsi="Aptos" w:eastAsia="Aptos" w:cs="Aptos"/>
        </w:rPr>
        <w:t xml:space="preserve"> by the previous Government. </w:t>
      </w:r>
      <w:r w:rsidRPr="137F1BC2" w:rsidR="4DABE584">
        <w:rPr>
          <w:rFonts w:ascii="Aptos" w:hAnsi="Aptos" w:eastAsia="Aptos" w:cs="Aptos"/>
        </w:rPr>
        <w:t xml:space="preserve">The </w:t>
      </w:r>
      <w:r w:rsidRPr="137F1BC2" w:rsidR="3C69DD7E">
        <w:rPr>
          <w:rFonts w:ascii="Aptos" w:hAnsi="Aptos" w:eastAsia="Aptos" w:cs="Aptos"/>
        </w:rPr>
        <w:t xml:space="preserve">current </w:t>
      </w:r>
      <w:r w:rsidRPr="137F1BC2" w:rsidR="4DABE584">
        <w:rPr>
          <w:rFonts w:ascii="Aptos" w:hAnsi="Aptos" w:eastAsia="Aptos" w:cs="Aptos"/>
        </w:rPr>
        <w:t xml:space="preserve">Government has </w:t>
      </w:r>
      <w:r w:rsidRPr="137F1BC2" w:rsidR="6FE6AA71">
        <w:rPr>
          <w:rFonts w:ascii="Aptos" w:hAnsi="Aptos" w:eastAsia="Aptos" w:cs="Aptos"/>
        </w:rPr>
        <w:t xml:space="preserve">replaced this with </w:t>
      </w:r>
      <w:r w:rsidRPr="137F1BC2" w:rsidR="37161772">
        <w:rPr>
          <w:rFonts w:ascii="Aptos" w:hAnsi="Aptos" w:eastAsia="Aptos" w:cs="Aptos"/>
        </w:rPr>
        <w:t xml:space="preserve">new </w:t>
      </w:r>
      <w:r w:rsidRPr="137F1BC2" w:rsidR="6FE6AA71">
        <w:rPr>
          <w:rFonts w:ascii="Aptos" w:hAnsi="Aptos" w:eastAsia="Aptos" w:cs="Aptos"/>
        </w:rPr>
        <w:t xml:space="preserve">proposals </w:t>
      </w:r>
      <w:r w:rsidRPr="137F1BC2" w:rsidR="004F8BD6">
        <w:rPr>
          <w:rFonts w:ascii="Aptos" w:hAnsi="Aptos" w:eastAsia="Aptos" w:cs="Aptos"/>
        </w:rPr>
        <w:t xml:space="preserve">outlined </w:t>
      </w:r>
      <w:r w:rsidRPr="137F1BC2" w:rsidR="6FE6AA71">
        <w:rPr>
          <w:rFonts w:ascii="Aptos" w:hAnsi="Aptos" w:eastAsia="Aptos" w:cs="Aptos"/>
        </w:rPr>
        <w:t xml:space="preserve">in the </w:t>
      </w:r>
      <w:hyperlink r:id="rId14">
        <w:r w:rsidRPr="137F1BC2" w:rsidR="6FE6AA71">
          <w:rPr>
            <w:rStyle w:val="Hyperlink"/>
            <w:rFonts w:ascii="Aptos" w:hAnsi="Aptos" w:eastAsia="Aptos" w:cs="Aptos"/>
          </w:rPr>
          <w:t>English Devolution White Paper</w:t>
        </w:r>
      </w:hyperlink>
      <w:r w:rsidRPr="137F1BC2" w:rsidR="6FE6AA71">
        <w:rPr>
          <w:rFonts w:ascii="Aptos" w:hAnsi="Aptos" w:eastAsia="Aptos" w:cs="Aptos"/>
        </w:rPr>
        <w:t xml:space="preserve">. </w:t>
      </w:r>
      <w:r w:rsidRPr="137F1BC2" w:rsidR="4DABE584">
        <w:rPr>
          <w:rFonts w:ascii="Aptos" w:hAnsi="Aptos" w:eastAsia="Aptos" w:cs="Aptos"/>
        </w:rPr>
        <w:t xml:space="preserve"> </w:t>
      </w:r>
    </w:p>
    <w:p w:rsidR="5014E3E7" w:rsidP="137F1BC2" w:rsidRDefault="5014E3E7" w14:paraId="2224FF0F" w14:textId="0171DD3C">
      <w:pPr>
        <w:spacing w:after="0"/>
        <w:rPr>
          <w:rFonts w:ascii="Aptos" w:hAnsi="Aptos" w:eastAsia="Aptos" w:cs="Aptos"/>
        </w:rPr>
      </w:pPr>
    </w:p>
    <w:p w:rsidR="1CCAC623" w:rsidP="5014E3E7" w:rsidRDefault="1DC9DF43" w14:paraId="59B29402" w14:textId="6192C23C">
      <w:pPr>
        <w:spacing w:after="0"/>
        <w:rPr>
          <w:rFonts w:ascii="Aptos" w:hAnsi="Aptos" w:eastAsia="Aptos" w:cs="Aptos"/>
          <w:b/>
          <w:bCs/>
        </w:rPr>
      </w:pPr>
      <w:r w:rsidRPr="5014E3E7">
        <w:rPr>
          <w:rFonts w:ascii="Aptos" w:hAnsi="Aptos" w:eastAsia="Aptos" w:cs="Aptos"/>
          <w:b/>
          <w:bCs/>
        </w:rPr>
        <w:t>Are there any other measures planned to increase scrutiny and accountability?</w:t>
      </w:r>
    </w:p>
    <w:p w:rsidR="00564747" w:rsidP="5014E3E7" w:rsidRDefault="00564747" w14:paraId="2C07BC38" w14:textId="0FE1060B">
      <w:pPr>
        <w:spacing w:after="0"/>
        <w:rPr>
          <w:rFonts w:ascii="Aptos" w:hAnsi="Aptos" w:eastAsia="Aptos" w:cs="Aptos"/>
        </w:rPr>
      </w:pPr>
    </w:p>
    <w:p w:rsidR="00564747" w:rsidP="5014E3E7" w:rsidRDefault="6FE6AA71" w14:paraId="21000E09" w14:textId="2C131EB1" w14:noSpellErr="1">
      <w:pPr>
        <w:rPr>
          <w:rFonts w:ascii="Aptos" w:hAnsi="Aptos" w:eastAsia="Aptos" w:cs="Aptos"/>
        </w:rPr>
      </w:pPr>
      <w:r w:rsidRPr="288CD7D0" w:rsidR="215CBB96">
        <w:rPr>
          <w:rFonts w:ascii="Aptos" w:hAnsi="Aptos" w:eastAsia="Aptos" w:cs="Aptos"/>
        </w:rPr>
        <w:t xml:space="preserve">The English Devolution White Paper sets out the Government’s commitment to improving accountability and scrutiny of local spending. </w:t>
      </w:r>
      <w:r w:rsidRPr="288CD7D0" w:rsidR="4FCF59C9">
        <w:rPr>
          <w:rFonts w:ascii="Aptos" w:hAnsi="Aptos" w:eastAsia="Aptos" w:cs="Aptos"/>
        </w:rPr>
        <w:t xml:space="preserve">The </w:t>
      </w:r>
      <w:r w:rsidRPr="288CD7D0" w:rsidR="215CBB96">
        <w:rPr>
          <w:rFonts w:ascii="Aptos" w:hAnsi="Aptos" w:eastAsia="Aptos" w:cs="Aptos"/>
        </w:rPr>
        <w:t xml:space="preserve">Government is engaging with </w:t>
      </w:r>
      <w:r w:rsidRPr="288CD7D0" w:rsidR="215CBB96">
        <w:rPr>
          <w:rFonts w:ascii="Aptos" w:hAnsi="Aptos" w:eastAsia="Aptos" w:cs="Aptos"/>
        </w:rPr>
        <w:t>M</w:t>
      </w:r>
      <w:r w:rsidRPr="288CD7D0" w:rsidR="01AFD766">
        <w:rPr>
          <w:rFonts w:ascii="Aptos" w:hAnsi="Aptos" w:eastAsia="Aptos" w:cs="Aptos"/>
        </w:rPr>
        <w:t>ayoral Combined Authorities</w:t>
      </w:r>
      <w:r w:rsidRPr="288CD7D0" w:rsidR="215CBB96">
        <w:rPr>
          <w:rFonts w:ascii="Aptos" w:hAnsi="Aptos" w:eastAsia="Aptos" w:cs="Aptos"/>
        </w:rPr>
        <w:t xml:space="preserve"> on how best to </w:t>
      </w:r>
      <w:r w:rsidRPr="288CD7D0" w:rsidR="1BC48E77">
        <w:rPr>
          <w:rFonts w:ascii="Aptos" w:hAnsi="Aptos" w:eastAsia="Aptos" w:cs="Aptos"/>
        </w:rPr>
        <w:t>deliver</w:t>
      </w:r>
      <w:r w:rsidRPr="288CD7D0" w:rsidR="215CBB96">
        <w:rPr>
          <w:rFonts w:ascii="Aptos" w:hAnsi="Aptos" w:eastAsia="Aptos" w:cs="Aptos"/>
        </w:rPr>
        <w:t xml:space="preserve"> that improved accountability and scrutiny through the mechanisms </w:t>
      </w:r>
      <w:r w:rsidRPr="288CD7D0" w:rsidR="215CBB96">
        <w:rPr>
          <w:rFonts w:ascii="Aptos" w:hAnsi="Aptos" w:eastAsia="Aptos" w:cs="Aptos"/>
        </w:rPr>
        <w:t>indicated</w:t>
      </w:r>
      <w:r w:rsidRPr="288CD7D0" w:rsidR="215CBB96">
        <w:rPr>
          <w:rFonts w:ascii="Aptos" w:hAnsi="Aptos" w:eastAsia="Aptos" w:cs="Aptos"/>
        </w:rPr>
        <w:t xml:space="preserve"> in the White Paper, including reviewing the existing Scrutiny Protocol and a </w:t>
      </w:r>
      <w:r w:rsidRPr="288CD7D0" w:rsidR="215CBB96">
        <w:rPr>
          <w:rFonts w:ascii="Aptos" w:hAnsi="Aptos" w:eastAsia="Aptos" w:cs="Aptos"/>
        </w:rPr>
        <w:t>Local P</w:t>
      </w:r>
      <w:r w:rsidRPr="288CD7D0" w:rsidR="56E7FDC7">
        <w:rPr>
          <w:rFonts w:ascii="Aptos" w:hAnsi="Aptos" w:eastAsia="Aptos" w:cs="Aptos"/>
        </w:rPr>
        <w:t>ublic Accounts Committee</w:t>
      </w:r>
      <w:r w:rsidRPr="288CD7D0" w:rsidR="215CBB96">
        <w:rPr>
          <w:rFonts w:ascii="Aptos" w:hAnsi="Aptos" w:eastAsia="Aptos" w:cs="Aptos"/>
        </w:rPr>
        <w:t xml:space="preserve"> model.</w:t>
      </w:r>
    </w:p>
    <w:p w:rsidR="20333039" w:rsidP="288CD7D0" w:rsidRDefault="20333039" w14:paraId="0E861DAD" w14:textId="45519574">
      <w:pPr>
        <w:rPr>
          <w:rFonts w:ascii="Aptos" w:hAnsi="Aptos" w:eastAsia="Aptos" w:cs="Aptos"/>
          <w:b w:val="1"/>
          <w:bCs w:val="1"/>
        </w:rPr>
      </w:pPr>
      <w:r w:rsidRPr="288CD7D0" w:rsidR="20333039">
        <w:rPr>
          <w:rFonts w:ascii="Aptos" w:hAnsi="Aptos" w:eastAsia="Aptos" w:cs="Aptos"/>
          <w:b w:val="1"/>
          <w:bCs w:val="1"/>
        </w:rPr>
        <w:t xml:space="preserve">Will any more funding be added to the Integrated Settlement in future? </w:t>
      </w:r>
    </w:p>
    <w:p w:rsidR="20333039" w:rsidP="288CD7D0" w:rsidRDefault="20333039" w14:paraId="330E2BF1" w14:textId="04EB702F">
      <w:pPr>
        <w:rPr>
          <w:rFonts w:ascii="Aptos" w:hAnsi="Aptos" w:eastAsia="Aptos" w:cs="Aptos"/>
        </w:rPr>
      </w:pPr>
      <w:r w:rsidRPr="288CD7D0" w:rsidR="20333039">
        <w:rPr>
          <w:rFonts w:ascii="Aptos" w:hAnsi="Aptos" w:eastAsia="Aptos" w:cs="Aptos"/>
        </w:rPr>
        <w:t xml:space="preserve">We are working with the Government </w:t>
      </w:r>
      <w:r w:rsidRPr="288CD7D0" w:rsidR="20333039">
        <w:rPr>
          <w:rFonts w:ascii="Aptos" w:hAnsi="Aptos" w:eastAsia="Aptos" w:cs="Aptos"/>
        </w:rPr>
        <w:t xml:space="preserve">on how further devolution could drive growth in Greater Manchester </w:t>
      </w:r>
      <w:r w:rsidRPr="288CD7D0" w:rsidR="20333039">
        <w:rPr>
          <w:rFonts w:ascii="Aptos" w:hAnsi="Aptos" w:eastAsia="Aptos" w:cs="Aptos"/>
        </w:rPr>
        <w:t xml:space="preserve">through a Task &amp; Finish process </w:t>
      </w:r>
      <w:r w:rsidRPr="288CD7D0" w:rsidR="20333039">
        <w:rPr>
          <w:rFonts w:ascii="Aptos" w:hAnsi="Aptos" w:eastAsia="Aptos" w:cs="Aptos"/>
        </w:rPr>
        <w:t xml:space="preserve">announced by the Deputy Prime Minister and Chancellor in December. </w:t>
      </w:r>
      <w:r w:rsidRPr="288CD7D0" w:rsidR="3728B92C">
        <w:rPr>
          <w:rFonts w:ascii="Aptos" w:hAnsi="Aptos" w:eastAsia="Aptos" w:cs="Aptos"/>
        </w:rPr>
        <w:t xml:space="preserve">That will include considering how the Settlement could be expanded to cover new areas of funding. </w:t>
      </w:r>
    </w:p>
    <w:sectPr w:rsidR="0056474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B5397"/>
    <w:multiLevelType w:val="hybridMultilevel"/>
    <w:tmpl w:val="EF089496"/>
    <w:lvl w:ilvl="0" w:tplc="E9F63FB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8DB006FE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8536DA9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C870F4A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358377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9F4A4C5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CF00A3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84D8D7C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C0A1FC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4A490F2"/>
    <w:multiLevelType w:val="hybridMultilevel"/>
    <w:tmpl w:val="CF8CEE4A"/>
    <w:lvl w:ilvl="0" w:tplc="4FFCE3B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8B8CF2C8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A132861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5A249CA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A70CDF9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70362DA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58AC386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2A8BA4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87E2507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84A7A37"/>
    <w:multiLevelType w:val="hybridMultilevel"/>
    <w:tmpl w:val="3ABEE472"/>
    <w:lvl w:ilvl="0" w:tplc="A934AC3C">
      <w:start w:val="1"/>
      <w:numFmt w:val="decimal"/>
      <w:lvlText w:val="%1."/>
      <w:lvlJc w:val="left"/>
      <w:pPr>
        <w:ind w:left="720" w:hanging="360"/>
      </w:pPr>
    </w:lvl>
    <w:lvl w:ilvl="1" w:tplc="F07413F0">
      <w:start w:val="1"/>
      <w:numFmt w:val="lowerLetter"/>
      <w:lvlText w:val="%2."/>
      <w:lvlJc w:val="left"/>
      <w:pPr>
        <w:ind w:left="1440" w:hanging="360"/>
      </w:pPr>
    </w:lvl>
    <w:lvl w:ilvl="2" w:tplc="583C722C">
      <w:start w:val="1"/>
      <w:numFmt w:val="lowerRoman"/>
      <w:lvlText w:val="%3."/>
      <w:lvlJc w:val="right"/>
      <w:pPr>
        <w:ind w:left="2160" w:hanging="180"/>
      </w:pPr>
    </w:lvl>
    <w:lvl w:ilvl="3" w:tplc="6256D698">
      <w:start w:val="1"/>
      <w:numFmt w:val="decimal"/>
      <w:lvlText w:val="%4."/>
      <w:lvlJc w:val="left"/>
      <w:pPr>
        <w:ind w:left="2880" w:hanging="360"/>
      </w:pPr>
    </w:lvl>
    <w:lvl w:ilvl="4" w:tplc="FF609D18">
      <w:start w:val="1"/>
      <w:numFmt w:val="lowerLetter"/>
      <w:lvlText w:val="%5."/>
      <w:lvlJc w:val="left"/>
      <w:pPr>
        <w:ind w:left="3600" w:hanging="360"/>
      </w:pPr>
    </w:lvl>
    <w:lvl w:ilvl="5" w:tplc="3A427CB2">
      <w:start w:val="1"/>
      <w:numFmt w:val="lowerRoman"/>
      <w:lvlText w:val="%6."/>
      <w:lvlJc w:val="right"/>
      <w:pPr>
        <w:ind w:left="4320" w:hanging="180"/>
      </w:pPr>
    </w:lvl>
    <w:lvl w:ilvl="6" w:tplc="4F4C74A6">
      <w:start w:val="1"/>
      <w:numFmt w:val="decimal"/>
      <w:lvlText w:val="%7."/>
      <w:lvlJc w:val="left"/>
      <w:pPr>
        <w:ind w:left="5040" w:hanging="360"/>
      </w:pPr>
    </w:lvl>
    <w:lvl w:ilvl="7" w:tplc="8C341EF2">
      <w:start w:val="1"/>
      <w:numFmt w:val="lowerLetter"/>
      <w:lvlText w:val="%8."/>
      <w:lvlJc w:val="left"/>
      <w:pPr>
        <w:ind w:left="5760" w:hanging="360"/>
      </w:pPr>
    </w:lvl>
    <w:lvl w:ilvl="8" w:tplc="832A6C5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2AFDA"/>
    <w:multiLevelType w:val="hybridMultilevel"/>
    <w:tmpl w:val="7F880120"/>
    <w:lvl w:ilvl="0" w:tplc="9E12B1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3C1B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FA0D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7035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9201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6CD5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6865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F63D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CC01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77064278">
    <w:abstractNumId w:val="2"/>
  </w:num>
  <w:num w:numId="2" w16cid:durableId="1937670116">
    <w:abstractNumId w:val="3"/>
  </w:num>
  <w:num w:numId="3" w16cid:durableId="205487883">
    <w:abstractNumId w:val="0"/>
  </w:num>
  <w:num w:numId="4" w16cid:durableId="130528301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AB030A"/>
    <w:rsid w:val="000977B5"/>
    <w:rsid w:val="0012717B"/>
    <w:rsid w:val="001C1EDE"/>
    <w:rsid w:val="001D10D0"/>
    <w:rsid w:val="00280856"/>
    <w:rsid w:val="0031324D"/>
    <w:rsid w:val="00315D6D"/>
    <w:rsid w:val="004276B4"/>
    <w:rsid w:val="00465099"/>
    <w:rsid w:val="004A36E0"/>
    <w:rsid w:val="004B2BB9"/>
    <w:rsid w:val="004F8BD6"/>
    <w:rsid w:val="0053319E"/>
    <w:rsid w:val="00564747"/>
    <w:rsid w:val="00655FC5"/>
    <w:rsid w:val="006603D3"/>
    <w:rsid w:val="006B04B0"/>
    <w:rsid w:val="00706A5E"/>
    <w:rsid w:val="00746175"/>
    <w:rsid w:val="00791A55"/>
    <w:rsid w:val="007B3760"/>
    <w:rsid w:val="009462F1"/>
    <w:rsid w:val="00973E42"/>
    <w:rsid w:val="00A13489"/>
    <w:rsid w:val="00B11974"/>
    <w:rsid w:val="00B3096C"/>
    <w:rsid w:val="00B81910"/>
    <w:rsid w:val="00C36081"/>
    <w:rsid w:val="00C5485D"/>
    <w:rsid w:val="00C73625"/>
    <w:rsid w:val="00C76EB0"/>
    <w:rsid w:val="00CB2A4D"/>
    <w:rsid w:val="00CD0C09"/>
    <w:rsid w:val="00D15588"/>
    <w:rsid w:val="00D35193"/>
    <w:rsid w:val="00D515F3"/>
    <w:rsid w:val="00E343EB"/>
    <w:rsid w:val="00ED39A1"/>
    <w:rsid w:val="00EEB93E"/>
    <w:rsid w:val="00F235C8"/>
    <w:rsid w:val="00F67E3E"/>
    <w:rsid w:val="00FB3691"/>
    <w:rsid w:val="00FF3C24"/>
    <w:rsid w:val="01AFD766"/>
    <w:rsid w:val="01CF6C8F"/>
    <w:rsid w:val="020174C3"/>
    <w:rsid w:val="0229DC4C"/>
    <w:rsid w:val="02B84406"/>
    <w:rsid w:val="0313AA19"/>
    <w:rsid w:val="03CEF2E2"/>
    <w:rsid w:val="03FCEE80"/>
    <w:rsid w:val="04536D42"/>
    <w:rsid w:val="04B940AC"/>
    <w:rsid w:val="04DADA82"/>
    <w:rsid w:val="04F3FF90"/>
    <w:rsid w:val="051AB84C"/>
    <w:rsid w:val="05640819"/>
    <w:rsid w:val="05786EFF"/>
    <w:rsid w:val="05C305A2"/>
    <w:rsid w:val="05E73357"/>
    <w:rsid w:val="060F5333"/>
    <w:rsid w:val="061892BF"/>
    <w:rsid w:val="0663EEAA"/>
    <w:rsid w:val="06930DAE"/>
    <w:rsid w:val="070C933C"/>
    <w:rsid w:val="0714CAE5"/>
    <w:rsid w:val="072B0E2B"/>
    <w:rsid w:val="079451B3"/>
    <w:rsid w:val="07A3C303"/>
    <w:rsid w:val="07E72FDD"/>
    <w:rsid w:val="0801CBCA"/>
    <w:rsid w:val="0873F160"/>
    <w:rsid w:val="0879972E"/>
    <w:rsid w:val="08977A7E"/>
    <w:rsid w:val="08D176FB"/>
    <w:rsid w:val="094C3063"/>
    <w:rsid w:val="09AA6E7E"/>
    <w:rsid w:val="09ABAD1F"/>
    <w:rsid w:val="09D77F8C"/>
    <w:rsid w:val="0A0715C0"/>
    <w:rsid w:val="0A1534BD"/>
    <w:rsid w:val="0A6D5593"/>
    <w:rsid w:val="0A924D48"/>
    <w:rsid w:val="0A9D2A06"/>
    <w:rsid w:val="0A9F9D84"/>
    <w:rsid w:val="0AD99720"/>
    <w:rsid w:val="0B20F03E"/>
    <w:rsid w:val="0B3198ED"/>
    <w:rsid w:val="0B3F2D8E"/>
    <w:rsid w:val="0B4BAD69"/>
    <w:rsid w:val="0B8CD6AF"/>
    <w:rsid w:val="0C04AE41"/>
    <w:rsid w:val="0C78617D"/>
    <w:rsid w:val="0C7C9F3A"/>
    <w:rsid w:val="0C8364A1"/>
    <w:rsid w:val="0D34F689"/>
    <w:rsid w:val="0D6B2259"/>
    <w:rsid w:val="0D74A9B3"/>
    <w:rsid w:val="0D9D3BD5"/>
    <w:rsid w:val="0DA51E83"/>
    <w:rsid w:val="0DD6D092"/>
    <w:rsid w:val="0EC6AB4E"/>
    <w:rsid w:val="0ECA5E63"/>
    <w:rsid w:val="0ECB0944"/>
    <w:rsid w:val="0F059027"/>
    <w:rsid w:val="0F0830EF"/>
    <w:rsid w:val="0FC0F2C4"/>
    <w:rsid w:val="0FC337E5"/>
    <w:rsid w:val="1074C1D7"/>
    <w:rsid w:val="1092B240"/>
    <w:rsid w:val="10972F84"/>
    <w:rsid w:val="10A37D36"/>
    <w:rsid w:val="10F41C2B"/>
    <w:rsid w:val="10F46CCD"/>
    <w:rsid w:val="1191583E"/>
    <w:rsid w:val="11A9CDF4"/>
    <w:rsid w:val="11E2CF3C"/>
    <w:rsid w:val="11EBEC3D"/>
    <w:rsid w:val="1214E152"/>
    <w:rsid w:val="12295E3D"/>
    <w:rsid w:val="12650DCD"/>
    <w:rsid w:val="127329D1"/>
    <w:rsid w:val="1285A675"/>
    <w:rsid w:val="12C18CE3"/>
    <w:rsid w:val="1317E89A"/>
    <w:rsid w:val="137F1BC2"/>
    <w:rsid w:val="13EFD60E"/>
    <w:rsid w:val="141664C8"/>
    <w:rsid w:val="14521DC6"/>
    <w:rsid w:val="145D095D"/>
    <w:rsid w:val="147A846C"/>
    <w:rsid w:val="14981269"/>
    <w:rsid w:val="14A41F99"/>
    <w:rsid w:val="14F33007"/>
    <w:rsid w:val="15003F94"/>
    <w:rsid w:val="162A3B9C"/>
    <w:rsid w:val="168D3201"/>
    <w:rsid w:val="16C4E625"/>
    <w:rsid w:val="16C94FDF"/>
    <w:rsid w:val="16E7EE6F"/>
    <w:rsid w:val="17218F7D"/>
    <w:rsid w:val="17400626"/>
    <w:rsid w:val="174CEC7E"/>
    <w:rsid w:val="177CA91A"/>
    <w:rsid w:val="183D9AAD"/>
    <w:rsid w:val="184313BC"/>
    <w:rsid w:val="1865F46C"/>
    <w:rsid w:val="186646EC"/>
    <w:rsid w:val="187292A4"/>
    <w:rsid w:val="1886CD87"/>
    <w:rsid w:val="18FE076D"/>
    <w:rsid w:val="19348C49"/>
    <w:rsid w:val="196EB9BF"/>
    <w:rsid w:val="19781646"/>
    <w:rsid w:val="19B4963E"/>
    <w:rsid w:val="19C3726B"/>
    <w:rsid w:val="19F9CE35"/>
    <w:rsid w:val="1A8FC88E"/>
    <w:rsid w:val="1A95C5DA"/>
    <w:rsid w:val="1AC58DEE"/>
    <w:rsid w:val="1B04BDB8"/>
    <w:rsid w:val="1B07E4F6"/>
    <w:rsid w:val="1BA92299"/>
    <w:rsid w:val="1BC48E77"/>
    <w:rsid w:val="1BD19280"/>
    <w:rsid w:val="1C12E9AB"/>
    <w:rsid w:val="1C1D3456"/>
    <w:rsid w:val="1C51D1D3"/>
    <w:rsid w:val="1C5A5EEC"/>
    <w:rsid w:val="1CCAC623"/>
    <w:rsid w:val="1CED349A"/>
    <w:rsid w:val="1D367D78"/>
    <w:rsid w:val="1D8EB0AF"/>
    <w:rsid w:val="1D9DAD9B"/>
    <w:rsid w:val="1DC9DF43"/>
    <w:rsid w:val="1E6148FA"/>
    <w:rsid w:val="1EA2F719"/>
    <w:rsid w:val="1EEA1495"/>
    <w:rsid w:val="1F418C03"/>
    <w:rsid w:val="1FBC3379"/>
    <w:rsid w:val="2014CF70"/>
    <w:rsid w:val="2027D76E"/>
    <w:rsid w:val="20333039"/>
    <w:rsid w:val="204ED89E"/>
    <w:rsid w:val="213DA64B"/>
    <w:rsid w:val="215CBB96"/>
    <w:rsid w:val="21EC1228"/>
    <w:rsid w:val="2265228F"/>
    <w:rsid w:val="22F5D5E3"/>
    <w:rsid w:val="233DE7FA"/>
    <w:rsid w:val="236CF7A2"/>
    <w:rsid w:val="23BCE2A7"/>
    <w:rsid w:val="23C3FC60"/>
    <w:rsid w:val="23C78002"/>
    <w:rsid w:val="23E5BF12"/>
    <w:rsid w:val="23F053C8"/>
    <w:rsid w:val="24214DCE"/>
    <w:rsid w:val="249F40EB"/>
    <w:rsid w:val="252B5F7F"/>
    <w:rsid w:val="25451FA9"/>
    <w:rsid w:val="256D3276"/>
    <w:rsid w:val="256F2DA3"/>
    <w:rsid w:val="2596628B"/>
    <w:rsid w:val="25AB0250"/>
    <w:rsid w:val="25C547FF"/>
    <w:rsid w:val="268B7BFE"/>
    <w:rsid w:val="26CF18EA"/>
    <w:rsid w:val="270B7431"/>
    <w:rsid w:val="27142661"/>
    <w:rsid w:val="27205442"/>
    <w:rsid w:val="2743DF93"/>
    <w:rsid w:val="27899698"/>
    <w:rsid w:val="27B7CFAA"/>
    <w:rsid w:val="27C01D41"/>
    <w:rsid w:val="27F62B9A"/>
    <w:rsid w:val="284238A0"/>
    <w:rsid w:val="28681ABA"/>
    <w:rsid w:val="287A00AC"/>
    <w:rsid w:val="288CD7D0"/>
    <w:rsid w:val="28C11F92"/>
    <w:rsid w:val="28FC0AEC"/>
    <w:rsid w:val="294C0095"/>
    <w:rsid w:val="29AEE212"/>
    <w:rsid w:val="29B5CD4E"/>
    <w:rsid w:val="29CD1483"/>
    <w:rsid w:val="29E75FEB"/>
    <w:rsid w:val="29E761C8"/>
    <w:rsid w:val="2A1DF14F"/>
    <w:rsid w:val="2A39AE5B"/>
    <w:rsid w:val="2A62CBC8"/>
    <w:rsid w:val="2A7F3C24"/>
    <w:rsid w:val="2AEC0367"/>
    <w:rsid w:val="2B1A949A"/>
    <w:rsid w:val="2B1FD1CF"/>
    <w:rsid w:val="2B275618"/>
    <w:rsid w:val="2B52E4FA"/>
    <w:rsid w:val="2BA2CDB1"/>
    <w:rsid w:val="2D11FD73"/>
    <w:rsid w:val="2D15F292"/>
    <w:rsid w:val="2D4C2A13"/>
    <w:rsid w:val="2D60EC1D"/>
    <w:rsid w:val="2D645D6A"/>
    <w:rsid w:val="2D956CFE"/>
    <w:rsid w:val="2DC52931"/>
    <w:rsid w:val="2E103E98"/>
    <w:rsid w:val="2E277ABB"/>
    <w:rsid w:val="2E389105"/>
    <w:rsid w:val="2E8B5B43"/>
    <w:rsid w:val="2EA63E75"/>
    <w:rsid w:val="2ECAEC8A"/>
    <w:rsid w:val="2F23D943"/>
    <w:rsid w:val="2F4DDA56"/>
    <w:rsid w:val="2F903AC1"/>
    <w:rsid w:val="2FA29ECF"/>
    <w:rsid w:val="2FE008BF"/>
    <w:rsid w:val="2FEE082D"/>
    <w:rsid w:val="305F4EC5"/>
    <w:rsid w:val="309D7FF6"/>
    <w:rsid w:val="30E04F53"/>
    <w:rsid w:val="30F212C9"/>
    <w:rsid w:val="30F37291"/>
    <w:rsid w:val="31468FE0"/>
    <w:rsid w:val="315B9435"/>
    <w:rsid w:val="3198518F"/>
    <w:rsid w:val="31B40FDC"/>
    <w:rsid w:val="31BC97C5"/>
    <w:rsid w:val="31EAF156"/>
    <w:rsid w:val="31F9363E"/>
    <w:rsid w:val="321636CA"/>
    <w:rsid w:val="32CFD980"/>
    <w:rsid w:val="3300F2E6"/>
    <w:rsid w:val="3396FAE9"/>
    <w:rsid w:val="33BF5463"/>
    <w:rsid w:val="3419CE08"/>
    <w:rsid w:val="344CF02A"/>
    <w:rsid w:val="346BD211"/>
    <w:rsid w:val="36502809"/>
    <w:rsid w:val="370C29BD"/>
    <w:rsid w:val="37161772"/>
    <w:rsid w:val="371E4A9A"/>
    <w:rsid w:val="3728B92C"/>
    <w:rsid w:val="37507AD4"/>
    <w:rsid w:val="379A1B4A"/>
    <w:rsid w:val="380A51A9"/>
    <w:rsid w:val="381315D6"/>
    <w:rsid w:val="3846445F"/>
    <w:rsid w:val="3850608E"/>
    <w:rsid w:val="38793D18"/>
    <w:rsid w:val="392AB522"/>
    <w:rsid w:val="3A089B63"/>
    <w:rsid w:val="3A414AB0"/>
    <w:rsid w:val="3A415C32"/>
    <w:rsid w:val="3A568265"/>
    <w:rsid w:val="3A77729A"/>
    <w:rsid w:val="3A951D10"/>
    <w:rsid w:val="3AA4EF21"/>
    <w:rsid w:val="3B08302B"/>
    <w:rsid w:val="3B6E61C6"/>
    <w:rsid w:val="3B6FC79E"/>
    <w:rsid w:val="3B8D3D3E"/>
    <w:rsid w:val="3B9E83EC"/>
    <w:rsid w:val="3BA7A9B2"/>
    <w:rsid w:val="3BDBC33D"/>
    <w:rsid w:val="3BF1F43D"/>
    <w:rsid w:val="3C25BCC1"/>
    <w:rsid w:val="3C4A3A7C"/>
    <w:rsid w:val="3C69DD7E"/>
    <w:rsid w:val="3C7D70E7"/>
    <w:rsid w:val="3C89EDB5"/>
    <w:rsid w:val="3D2C0F1B"/>
    <w:rsid w:val="3D383D5F"/>
    <w:rsid w:val="3D50AF2F"/>
    <w:rsid w:val="3D99312C"/>
    <w:rsid w:val="3ECE0864"/>
    <w:rsid w:val="3F101D61"/>
    <w:rsid w:val="3F13E057"/>
    <w:rsid w:val="3F427D2C"/>
    <w:rsid w:val="3F44E7EF"/>
    <w:rsid w:val="3F4C0C78"/>
    <w:rsid w:val="3F698205"/>
    <w:rsid w:val="411B5204"/>
    <w:rsid w:val="413605D2"/>
    <w:rsid w:val="4181F133"/>
    <w:rsid w:val="418C0D22"/>
    <w:rsid w:val="41AB030A"/>
    <w:rsid w:val="41BF69B4"/>
    <w:rsid w:val="41E87710"/>
    <w:rsid w:val="423BCD9C"/>
    <w:rsid w:val="42EED607"/>
    <w:rsid w:val="43171D6A"/>
    <w:rsid w:val="43500484"/>
    <w:rsid w:val="435A06CE"/>
    <w:rsid w:val="4386BA11"/>
    <w:rsid w:val="43E2B632"/>
    <w:rsid w:val="44546C7E"/>
    <w:rsid w:val="446FAA8A"/>
    <w:rsid w:val="44AE742D"/>
    <w:rsid w:val="44E43BF2"/>
    <w:rsid w:val="44F0404A"/>
    <w:rsid w:val="44F15341"/>
    <w:rsid w:val="452F31FE"/>
    <w:rsid w:val="45539BE2"/>
    <w:rsid w:val="45950742"/>
    <w:rsid w:val="45AEFD47"/>
    <w:rsid w:val="45DB8A11"/>
    <w:rsid w:val="460A03C8"/>
    <w:rsid w:val="46124A94"/>
    <w:rsid w:val="464C5962"/>
    <w:rsid w:val="467BD2D1"/>
    <w:rsid w:val="46B3860D"/>
    <w:rsid w:val="46F41332"/>
    <w:rsid w:val="470CEC5D"/>
    <w:rsid w:val="475C3992"/>
    <w:rsid w:val="47CEC480"/>
    <w:rsid w:val="4816328F"/>
    <w:rsid w:val="48494284"/>
    <w:rsid w:val="486DF117"/>
    <w:rsid w:val="48B6FFCC"/>
    <w:rsid w:val="48C75C67"/>
    <w:rsid w:val="48F9343C"/>
    <w:rsid w:val="4932D253"/>
    <w:rsid w:val="496EC631"/>
    <w:rsid w:val="4A04627B"/>
    <w:rsid w:val="4A6534B8"/>
    <w:rsid w:val="4AAD727D"/>
    <w:rsid w:val="4ABC9AAE"/>
    <w:rsid w:val="4ABED63B"/>
    <w:rsid w:val="4B65DAFF"/>
    <w:rsid w:val="4B82719A"/>
    <w:rsid w:val="4B961ECE"/>
    <w:rsid w:val="4BB825F6"/>
    <w:rsid w:val="4BE645FB"/>
    <w:rsid w:val="4C7997D8"/>
    <w:rsid w:val="4CF1F4DC"/>
    <w:rsid w:val="4D18E236"/>
    <w:rsid w:val="4D408CC7"/>
    <w:rsid w:val="4D4C8F6A"/>
    <w:rsid w:val="4D4E339A"/>
    <w:rsid w:val="4DABE584"/>
    <w:rsid w:val="4DB56884"/>
    <w:rsid w:val="4E46383D"/>
    <w:rsid w:val="4EA9D162"/>
    <w:rsid w:val="4EBE5402"/>
    <w:rsid w:val="4EC37449"/>
    <w:rsid w:val="4F0248D2"/>
    <w:rsid w:val="4F78BB1C"/>
    <w:rsid w:val="4FA0B3FF"/>
    <w:rsid w:val="4FCF59C9"/>
    <w:rsid w:val="4FF03628"/>
    <w:rsid w:val="5014E3E7"/>
    <w:rsid w:val="501CD123"/>
    <w:rsid w:val="5021433E"/>
    <w:rsid w:val="50770093"/>
    <w:rsid w:val="511545C0"/>
    <w:rsid w:val="512BA115"/>
    <w:rsid w:val="51B649C5"/>
    <w:rsid w:val="51E78AAD"/>
    <w:rsid w:val="51F68318"/>
    <w:rsid w:val="52317941"/>
    <w:rsid w:val="52C353FF"/>
    <w:rsid w:val="530446CF"/>
    <w:rsid w:val="538D3356"/>
    <w:rsid w:val="539E868A"/>
    <w:rsid w:val="53D4A54A"/>
    <w:rsid w:val="54136A2D"/>
    <w:rsid w:val="543C7FF8"/>
    <w:rsid w:val="5442BE3B"/>
    <w:rsid w:val="545997F3"/>
    <w:rsid w:val="54D25F5B"/>
    <w:rsid w:val="550B8440"/>
    <w:rsid w:val="55CA3C94"/>
    <w:rsid w:val="566A9867"/>
    <w:rsid w:val="56B9A461"/>
    <w:rsid w:val="56E0F115"/>
    <w:rsid w:val="56E7FDC7"/>
    <w:rsid w:val="56FBED5E"/>
    <w:rsid w:val="5758561E"/>
    <w:rsid w:val="5768CCE4"/>
    <w:rsid w:val="57CA4DB1"/>
    <w:rsid w:val="580A98F4"/>
    <w:rsid w:val="5821A3CD"/>
    <w:rsid w:val="582FBF05"/>
    <w:rsid w:val="586462C6"/>
    <w:rsid w:val="5872787D"/>
    <w:rsid w:val="58C6CBEE"/>
    <w:rsid w:val="58D92598"/>
    <w:rsid w:val="590EBC68"/>
    <w:rsid w:val="595D0007"/>
    <w:rsid w:val="597981A6"/>
    <w:rsid w:val="59852A1F"/>
    <w:rsid w:val="5994FB0F"/>
    <w:rsid w:val="59EDA3A6"/>
    <w:rsid w:val="5A310108"/>
    <w:rsid w:val="5AC37646"/>
    <w:rsid w:val="5ADD91E8"/>
    <w:rsid w:val="5B471592"/>
    <w:rsid w:val="5B679252"/>
    <w:rsid w:val="5C156116"/>
    <w:rsid w:val="5C613895"/>
    <w:rsid w:val="5CE7B991"/>
    <w:rsid w:val="5D63FFDA"/>
    <w:rsid w:val="5DA9BF5D"/>
    <w:rsid w:val="5E131FA5"/>
    <w:rsid w:val="5E14C16D"/>
    <w:rsid w:val="5EF16658"/>
    <w:rsid w:val="5F1AB01D"/>
    <w:rsid w:val="5F646739"/>
    <w:rsid w:val="5F95951D"/>
    <w:rsid w:val="5FEE6A0D"/>
    <w:rsid w:val="60034ABB"/>
    <w:rsid w:val="607275C8"/>
    <w:rsid w:val="6098F129"/>
    <w:rsid w:val="60B7D9CA"/>
    <w:rsid w:val="60C7A0CB"/>
    <w:rsid w:val="60EDA80A"/>
    <w:rsid w:val="616F3235"/>
    <w:rsid w:val="61D6C660"/>
    <w:rsid w:val="6228B3C1"/>
    <w:rsid w:val="627E7792"/>
    <w:rsid w:val="62CA51FD"/>
    <w:rsid w:val="6328942F"/>
    <w:rsid w:val="6341B4D5"/>
    <w:rsid w:val="63730C5E"/>
    <w:rsid w:val="638299BF"/>
    <w:rsid w:val="63964FC0"/>
    <w:rsid w:val="639BC5CA"/>
    <w:rsid w:val="63D0691D"/>
    <w:rsid w:val="63F02D6A"/>
    <w:rsid w:val="64040A32"/>
    <w:rsid w:val="655724E9"/>
    <w:rsid w:val="65666AB8"/>
    <w:rsid w:val="6608D51B"/>
    <w:rsid w:val="66105C15"/>
    <w:rsid w:val="662C38EF"/>
    <w:rsid w:val="66B0496C"/>
    <w:rsid w:val="66B6F982"/>
    <w:rsid w:val="66D0471C"/>
    <w:rsid w:val="6718B88F"/>
    <w:rsid w:val="6755023A"/>
    <w:rsid w:val="685BA7D0"/>
    <w:rsid w:val="686CA76E"/>
    <w:rsid w:val="6931E99B"/>
    <w:rsid w:val="69CBC4E8"/>
    <w:rsid w:val="69DA2391"/>
    <w:rsid w:val="69DB87C5"/>
    <w:rsid w:val="69F4A657"/>
    <w:rsid w:val="6B20879E"/>
    <w:rsid w:val="6BE2242B"/>
    <w:rsid w:val="6C394ECB"/>
    <w:rsid w:val="6C4B2E92"/>
    <w:rsid w:val="6C56EA06"/>
    <w:rsid w:val="6CB286F9"/>
    <w:rsid w:val="6D00B787"/>
    <w:rsid w:val="6D375C92"/>
    <w:rsid w:val="6D645883"/>
    <w:rsid w:val="6DC69420"/>
    <w:rsid w:val="6DE45A02"/>
    <w:rsid w:val="6E3D4302"/>
    <w:rsid w:val="6E3FD779"/>
    <w:rsid w:val="6E542C89"/>
    <w:rsid w:val="6EBBE6DF"/>
    <w:rsid w:val="6ED54AA5"/>
    <w:rsid w:val="6EEA5DAB"/>
    <w:rsid w:val="6EF7211C"/>
    <w:rsid w:val="6F7731D8"/>
    <w:rsid w:val="6F8C19C3"/>
    <w:rsid w:val="6FBF5F55"/>
    <w:rsid w:val="6FD72271"/>
    <w:rsid w:val="6FE6AA71"/>
    <w:rsid w:val="705B0344"/>
    <w:rsid w:val="70C396A0"/>
    <w:rsid w:val="70C76696"/>
    <w:rsid w:val="70CE539D"/>
    <w:rsid w:val="70D7E27B"/>
    <w:rsid w:val="711778BA"/>
    <w:rsid w:val="71517FFA"/>
    <w:rsid w:val="716842AE"/>
    <w:rsid w:val="719D5F8C"/>
    <w:rsid w:val="719EE7D9"/>
    <w:rsid w:val="71B70172"/>
    <w:rsid w:val="71B93BE3"/>
    <w:rsid w:val="725529A1"/>
    <w:rsid w:val="7296997B"/>
    <w:rsid w:val="72B4BE7B"/>
    <w:rsid w:val="738ABB24"/>
    <w:rsid w:val="73A32E28"/>
    <w:rsid w:val="7409BFF0"/>
    <w:rsid w:val="745C0FCC"/>
    <w:rsid w:val="75BF4882"/>
    <w:rsid w:val="760B2099"/>
    <w:rsid w:val="760C008F"/>
    <w:rsid w:val="7620679D"/>
    <w:rsid w:val="7642F1C1"/>
    <w:rsid w:val="766595D3"/>
    <w:rsid w:val="76845F1B"/>
    <w:rsid w:val="76994D23"/>
    <w:rsid w:val="76BD91EF"/>
    <w:rsid w:val="76D6A6F9"/>
    <w:rsid w:val="774CA36D"/>
    <w:rsid w:val="77618289"/>
    <w:rsid w:val="77EC68F6"/>
    <w:rsid w:val="783A45E1"/>
    <w:rsid w:val="7879B4BC"/>
    <w:rsid w:val="78EC9007"/>
    <w:rsid w:val="7908FDE2"/>
    <w:rsid w:val="797B002F"/>
    <w:rsid w:val="798EBAEF"/>
    <w:rsid w:val="79C8E7B0"/>
    <w:rsid w:val="79DD5D6C"/>
    <w:rsid w:val="79F051E6"/>
    <w:rsid w:val="79F18A1E"/>
    <w:rsid w:val="79FA2E42"/>
    <w:rsid w:val="79FADDDD"/>
    <w:rsid w:val="7A20ACCF"/>
    <w:rsid w:val="7A25DE73"/>
    <w:rsid w:val="7A953419"/>
    <w:rsid w:val="7AB913D8"/>
    <w:rsid w:val="7ADC6AC5"/>
    <w:rsid w:val="7AF5884A"/>
    <w:rsid w:val="7AF8BDF1"/>
    <w:rsid w:val="7BC137BD"/>
    <w:rsid w:val="7BF98B24"/>
    <w:rsid w:val="7C14C6E2"/>
    <w:rsid w:val="7C806612"/>
    <w:rsid w:val="7CA6D364"/>
    <w:rsid w:val="7CD1C4E4"/>
    <w:rsid w:val="7D589EEB"/>
    <w:rsid w:val="7DB0B467"/>
    <w:rsid w:val="7DC52B44"/>
    <w:rsid w:val="7E19929C"/>
    <w:rsid w:val="7E9FFBF7"/>
    <w:rsid w:val="7EAAC5B5"/>
    <w:rsid w:val="7F03618A"/>
    <w:rsid w:val="7F3BAFBD"/>
    <w:rsid w:val="7FFEB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B030A"/>
  <w15:chartTrackingRefBased/>
  <w15:docId w15:val="{F6F63D1A-2D4C-474B-8CE5-CF652F5C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1E6148F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1E6148F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1E6148F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1E6148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1E614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1E6148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1E6148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1E6148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1E6148FA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1E6148FA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1E6148FA"/>
    <w:pPr>
      <w:spacing w:after="8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1E6148FA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1E6148FA"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1E6148F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1E6148FA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1E6148F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A36E0"/>
    <w:pPr>
      <w:spacing w:after="0" w:line="240" w:lineRule="auto"/>
    </w:pPr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0D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10D0"/>
    <w:rPr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C7362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hyperlink" Target="https://assets.publishing.service.gov.uk/media/65e71b503f69457ff10360e2/Annex_to_the_Memorandum_of_Understanding_for_the__Trailblazer__Single_Settlements_with_Greater_Manchester_and_West_Midlands_Combined_Authorities.pdf" TargetMode="External" Id="rId9" /><Relationship Type="http://schemas.openxmlformats.org/officeDocument/2006/relationships/hyperlink" Target="https://www.gov.uk/government/publications/english-devolution-white-paper-power-and-partnership-foundations-for-growth/english-devolution-white-paper" TargetMode="External" Id="rId14" /><Relationship Type="http://schemas.openxmlformats.org/officeDocument/2006/relationships/image" Target="/media/image2.png" Id="R709e730e63424a0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bd9613-ac7e-4821-8b68-a1f5db93264e">
      <Terms xmlns="http://schemas.microsoft.com/office/infopath/2007/PartnerControls"/>
    </lcf76f155ced4ddcb4097134ff3c332f>
    <TaxCatchAll xmlns="3b19b4fd-9578-4732-bb43-717d061d90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1EDC9A8EF8A438B4B542DA0B202B4" ma:contentTypeVersion="14" ma:contentTypeDescription="Create a new document." ma:contentTypeScope="" ma:versionID="764a79eb21bf0be8f2071a6b5075dcd1">
  <xsd:schema xmlns:xsd="http://www.w3.org/2001/XMLSchema" xmlns:xs="http://www.w3.org/2001/XMLSchema" xmlns:p="http://schemas.microsoft.com/office/2006/metadata/properties" xmlns:ns2="54bd9613-ac7e-4821-8b68-a1f5db93264e" xmlns:ns3="3b19b4fd-9578-4732-bb43-717d061d905a" targetNamespace="http://schemas.microsoft.com/office/2006/metadata/properties" ma:root="true" ma:fieldsID="6fcc2bbdfa39de7239fed02b1beca53f" ns2:_="" ns3:_="">
    <xsd:import namespace="54bd9613-ac7e-4821-8b68-a1f5db93264e"/>
    <xsd:import namespace="3b19b4fd-9578-4732-bb43-717d061d9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9613-ac7e-4821-8b68-a1f5db932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4fde04-eaf7-46f4-90d8-754f3b9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9b4fd-9578-4732-bb43-717d061d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c0cace-49ab-487c-8317-ad6175d30883}" ma:internalName="TaxCatchAll" ma:showField="CatchAllData" ma:web="3b19b4fd-9578-4732-bb43-717d061d9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CBFA17-3755-4EF1-A8FB-4CBE40E3C593}">
  <ds:schemaRefs>
    <ds:schemaRef ds:uri="http://schemas.microsoft.com/office/2006/metadata/properties"/>
    <ds:schemaRef ds:uri="http://schemas.microsoft.com/office/infopath/2007/PartnerControls"/>
    <ds:schemaRef ds:uri="54bd9613-ac7e-4821-8b68-a1f5db93264e"/>
    <ds:schemaRef ds:uri="3b19b4fd-9578-4732-bb43-717d061d905a"/>
  </ds:schemaRefs>
</ds:datastoreItem>
</file>

<file path=customXml/itemProps2.xml><?xml version="1.0" encoding="utf-8"?>
<ds:datastoreItem xmlns:ds="http://schemas.openxmlformats.org/officeDocument/2006/customXml" ds:itemID="{A44C0A82-E458-491A-B1AA-0FD8ACE63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d9613-ac7e-4821-8b68-a1f5db93264e"/>
    <ds:schemaRef ds:uri="3b19b4fd-9578-4732-bb43-717d061d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DD3AEB-BF82-46BA-9110-879321F4BF0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Tweed, Lyell</dc:creator>
  <keywords/>
  <dc:description/>
  <lastModifiedBy>Whitehead, Kirsten</lastModifiedBy>
  <revision>32</revision>
  <dcterms:created xsi:type="dcterms:W3CDTF">2025-03-13T05:53:00.0000000Z</dcterms:created>
  <dcterms:modified xsi:type="dcterms:W3CDTF">2025-03-27T18:11:12.9429673Z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0x01010091B1EDC9A8EF8A438B4B542DA0B202B4</vt:lpwstr>
  </property>
  <property fmtid="{D5CDD505-2E9C-101B-9397-08002B2CF9AE}" pid="3" name="MediaServiceImageTags">
    <vt:lpwstr/>
  </property>
</Properties>
</file>