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1619D" w14:textId="77777777" w:rsidR="00E94C27" w:rsidRDefault="00E94C2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7"/>
        <w:gridCol w:w="2268"/>
        <w:gridCol w:w="2267"/>
        <w:gridCol w:w="2268"/>
      </w:tblGrid>
      <w:tr w:rsidR="005B4960" w:rsidRPr="00467DAA" w14:paraId="5AB3D094" w14:textId="77777777" w:rsidTr="00E137B8">
        <w:trPr>
          <w:trHeight w:val="1123"/>
        </w:trPr>
        <w:tc>
          <w:tcPr>
            <w:tcW w:w="2267" w:type="dxa"/>
            <w:vAlign w:val="center"/>
          </w:tcPr>
          <w:p w14:paraId="4E7F487B" w14:textId="2A495BEC" w:rsidR="005B4960" w:rsidRPr="00467DAA" w:rsidRDefault="00104067" w:rsidP="00D47929">
            <w:pPr>
              <w:pStyle w:val="Heading1"/>
              <w:spacing w:before="100" w:beforeAutospacing="1" w:after="100" w:afterAutospacing="1" w:line="240" w:lineRule="auto"/>
              <w:rPr>
                <w:b/>
                <w:bCs/>
                <w:color w:val="D9D9D9" w:themeColor="background1" w:themeShade="D9"/>
                <w:sz w:val="20"/>
                <w:szCs w:val="20"/>
                <w:lang w:val="en-GB"/>
              </w:rPr>
            </w:pPr>
            <w:r w:rsidRPr="00467DAA">
              <w:rPr>
                <w:noProof/>
                <w:sz w:val="24"/>
                <w:lang w:val="en-GB"/>
              </w:rPr>
              <w:drawing>
                <wp:inline distT="0" distB="0" distL="0" distR="0" wp14:anchorId="48BA7A6D" wp14:editId="010316A4">
                  <wp:extent cx="83002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3" cstate="print">
                            <a:extLst>
                              <a:ext uri="{28A0092B-C50C-407E-A947-70E740481C1C}">
                                <a14:useLocalDpi xmlns:a14="http://schemas.microsoft.com/office/drawing/2010/main" val="0"/>
                              </a:ext>
                            </a:extLst>
                          </a:blip>
                          <a:srcRect l="13189" t="14590" r="11748" b="15728"/>
                          <a:stretch>
                            <a:fillRect/>
                          </a:stretch>
                        </pic:blipFill>
                        <pic:spPr bwMode="auto">
                          <a:xfrm>
                            <a:off x="0" y="0"/>
                            <a:ext cx="851096" cy="683681"/>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vAlign w:val="center"/>
          </w:tcPr>
          <w:p w14:paraId="040C831C" w14:textId="7E65383F" w:rsidR="005B4960" w:rsidRPr="00467DAA" w:rsidRDefault="00464293" w:rsidP="00DF6B3B">
            <w:pPr>
              <w:pStyle w:val="Heading1"/>
              <w:spacing w:before="100" w:beforeAutospacing="1" w:after="100" w:afterAutospacing="1" w:line="240" w:lineRule="auto"/>
              <w:rPr>
                <w:color w:val="D9D9D9" w:themeColor="background1" w:themeShade="D9"/>
                <w:sz w:val="20"/>
                <w:szCs w:val="20"/>
                <w:lang w:val="en-GB"/>
              </w:rPr>
            </w:pPr>
            <w:r>
              <w:rPr>
                <w:noProof/>
                <w:color w:val="D9D9D9" w:themeColor="background1" w:themeShade="D9"/>
                <w:sz w:val="20"/>
                <w:szCs w:val="20"/>
                <w:lang w:val="en-GB"/>
              </w:rPr>
              <w:drawing>
                <wp:inline distT="0" distB="0" distL="0" distR="0" wp14:anchorId="0C2BB430" wp14:editId="03AC4D1D">
                  <wp:extent cx="1403350" cy="485709"/>
                  <wp:effectExtent l="0" t="0" r="6350" b="0"/>
                  <wp:docPr id="102728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4331" cy="492971"/>
                          </a:xfrm>
                          <a:prstGeom prst="rect">
                            <a:avLst/>
                          </a:prstGeom>
                          <a:noFill/>
                        </pic:spPr>
                      </pic:pic>
                    </a:graphicData>
                  </a:graphic>
                </wp:inline>
              </w:drawing>
            </w:r>
          </w:p>
        </w:tc>
        <w:tc>
          <w:tcPr>
            <w:tcW w:w="2267" w:type="dxa"/>
            <w:vAlign w:val="center"/>
          </w:tcPr>
          <w:p w14:paraId="6F0E7647" w14:textId="4ED372B7" w:rsidR="005B4960" w:rsidRPr="00467DAA" w:rsidRDefault="00E137B8" w:rsidP="00464293">
            <w:pPr>
              <w:pStyle w:val="Heading1"/>
              <w:spacing w:before="100" w:beforeAutospacing="1" w:after="100" w:afterAutospacing="1" w:line="240" w:lineRule="auto"/>
              <w:rPr>
                <w:b/>
                <w:bCs/>
                <w:color w:val="D9D9D9" w:themeColor="background1" w:themeShade="D9"/>
                <w:sz w:val="20"/>
                <w:szCs w:val="20"/>
                <w:lang w:val="en-GB"/>
              </w:rPr>
            </w:pPr>
            <w:r>
              <w:rPr>
                <w:b/>
                <w:bCs/>
                <w:noProof/>
                <w:color w:val="D9D9D9" w:themeColor="background1" w:themeShade="D9"/>
                <w:sz w:val="20"/>
                <w:szCs w:val="20"/>
                <w:lang w:val="en-GB"/>
              </w:rPr>
              <w:t xml:space="preserve"> </w:t>
            </w:r>
            <w:r w:rsidR="00464293">
              <w:rPr>
                <w:b/>
                <w:bCs/>
                <w:noProof/>
                <w:color w:val="D9D9D9" w:themeColor="background1" w:themeShade="D9"/>
                <w:sz w:val="20"/>
                <w:szCs w:val="20"/>
                <w:lang w:val="en-GB"/>
              </w:rPr>
              <w:drawing>
                <wp:inline distT="0" distB="0" distL="0" distR="0" wp14:anchorId="405E81C4" wp14:editId="04A51692">
                  <wp:extent cx="1116758" cy="409575"/>
                  <wp:effectExtent l="0" t="0" r="7620" b="0"/>
                  <wp:docPr id="13234572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22509" cy="411684"/>
                          </a:xfrm>
                          <a:prstGeom prst="rect">
                            <a:avLst/>
                          </a:prstGeom>
                          <a:noFill/>
                        </pic:spPr>
                      </pic:pic>
                    </a:graphicData>
                  </a:graphic>
                </wp:inline>
              </w:drawing>
            </w:r>
          </w:p>
        </w:tc>
        <w:tc>
          <w:tcPr>
            <w:tcW w:w="2268" w:type="dxa"/>
            <w:vAlign w:val="center"/>
          </w:tcPr>
          <w:p w14:paraId="18DC68F9" w14:textId="5EAD0356" w:rsidR="005B4960" w:rsidRPr="00467DAA" w:rsidRDefault="00464293" w:rsidP="00464293">
            <w:pPr>
              <w:pStyle w:val="Heading1"/>
              <w:spacing w:before="100" w:beforeAutospacing="1" w:after="100" w:afterAutospacing="1" w:line="240" w:lineRule="auto"/>
              <w:rPr>
                <w:b/>
                <w:bCs/>
                <w:color w:val="D9D9D9" w:themeColor="background1" w:themeShade="D9"/>
                <w:sz w:val="20"/>
                <w:szCs w:val="20"/>
                <w:lang w:val="en-GB"/>
              </w:rPr>
            </w:pPr>
            <w:r>
              <w:rPr>
                <w:b/>
                <w:bCs/>
                <w:noProof/>
                <w:color w:val="D9D9D9" w:themeColor="background1" w:themeShade="D9"/>
                <w:sz w:val="20"/>
                <w:szCs w:val="20"/>
                <w:lang w:val="en-GB"/>
              </w:rPr>
              <w:drawing>
                <wp:inline distT="0" distB="0" distL="0" distR="0" wp14:anchorId="2E65DE7F" wp14:editId="15158954">
                  <wp:extent cx="962025" cy="713306"/>
                  <wp:effectExtent l="0" t="0" r="0" b="0"/>
                  <wp:docPr id="1073871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871302" name="Picture 1073871302"/>
                          <pic:cNvPicPr/>
                        </pic:nvPicPr>
                        <pic:blipFill rotWithShape="1">
                          <a:blip r:embed="rId16" cstate="print">
                            <a:extLst>
                              <a:ext uri="{28A0092B-C50C-407E-A947-70E740481C1C}">
                                <a14:useLocalDpi xmlns:a14="http://schemas.microsoft.com/office/drawing/2010/main" val="0"/>
                              </a:ext>
                            </a:extLst>
                          </a:blip>
                          <a:srcRect t="12439" b="13415"/>
                          <a:stretch>
                            <a:fillRect/>
                          </a:stretch>
                        </pic:blipFill>
                        <pic:spPr bwMode="auto">
                          <a:xfrm>
                            <a:off x="0" y="0"/>
                            <a:ext cx="982392" cy="728407"/>
                          </a:xfrm>
                          <a:prstGeom prst="rect">
                            <a:avLst/>
                          </a:prstGeom>
                          <a:ln>
                            <a:noFill/>
                          </a:ln>
                          <a:extLst>
                            <a:ext uri="{53640926-AAD7-44D8-BBD7-CCE9431645EC}">
                              <a14:shadowObscured xmlns:a14="http://schemas.microsoft.com/office/drawing/2010/main"/>
                            </a:ext>
                          </a:extLst>
                        </pic:spPr>
                      </pic:pic>
                    </a:graphicData>
                  </a:graphic>
                </wp:inline>
              </w:drawing>
            </w:r>
          </w:p>
        </w:tc>
      </w:tr>
      <w:tr w:rsidR="007676BA" w:rsidRPr="00467DAA" w14:paraId="2737A237" w14:textId="77777777" w:rsidTr="00E137B8">
        <w:trPr>
          <w:trHeight w:val="1123"/>
        </w:trPr>
        <w:tc>
          <w:tcPr>
            <w:tcW w:w="2267" w:type="dxa"/>
            <w:vAlign w:val="center"/>
          </w:tcPr>
          <w:p w14:paraId="5A93EC41" w14:textId="4A26C966" w:rsidR="007676BA" w:rsidRDefault="007676BA" w:rsidP="00D47929">
            <w:pPr>
              <w:pStyle w:val="Heading1"/>
              <w:spacing w:before="100" w:beforeAutospacing="1" w:after="100" w:afterAutospacing="1" w:line="240" w:lineRule="auto"/>
              <w:rPr>
                <w:b/>
                <w:bCs/>
                <w:color w:val="D9D9D9" w:themeColor="background1" w:themeShade="D9"/>
                <w:sz w:val="20"/>
                <w:szCs w:val="20"/>
                <w:lang w:val="en-GB"/>
              </w:rPr>
            </w:pPr>
            <w:r>
              <w:rPr>
                <w:b/>
                <w:bCs/>
                <w:noProof/>
                <w:color w:val="D9D9D9" w:themeColor="background1" w:themeShade="D9"/>
                <w:sz w:val="20"/>
                <w:szCs w:val="20"/>
                <w:lang w:val="en-GB"/>
              </w:rPr>
              <w:drawing>
                <wp:inline distT="0" distB="0" distL="0" distR="0" wp14:anchorId="4D092366" wp14:editId="500ED40B">
                  <wp:extent cx="1302385" cy="327660"/>
                  <wp:effectExtent l="0" t="0" r="8255" b="0"/>
                  <wp:docPr id="15589953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95391" name="Picture 155899539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02385" cy="327660"/>
                          </a:xfrm>
                          <a:prstGeom prst="rect">
                            <a:avLst/>
                          </a:prstGeom>
                        </pic:spPr>
                      </pic:pic>
                    </a:graphicData>
                  </a:graphic>
                </wp:inline>
              </w:drawing>
            </w:r>
          </w:p>
        </w:tc>
        <w:tc>
          <w:tcPr>
            <w:tcW w:w="2268" w:type="dxa"/>
            <w:vAlign w:val="center"/>
          </w:tcPr>
          <w:p w14:paraId="77DB6D13" w14:textId="52BD7629" w:rsidR="007676BA" w:rsidRDefault="00DF6B3B" w:rsidP="00D47929">
            <w:pPr>
              <w:pStyle w:val="Heading1"/>
              <w:spacing w:before="100" w:beforeAutospacing="1" w:after="100" w:afterAutospacing="1" w:line="240" w:lineRule="auto"/>
              <w:jc w:val="center"/>
              <w:rPr>
                <w:color w:val="D9D9D9" w:themeColor="background1" w:themeShade="D9"/>
                <w:sz w:val="20"/>
                <w:szCs w:val="20"/>
                <w:lang w:val="en-GB"/>
              </w:rPr>
            </w:pPr>
            <w:r>
              <w:rPr>
                <w:noProof/>
                <w:color w:val="D9D9D9" w:themeColor="background1" w:themeShade="D9"/>
                <w:sz w:val="20"/>
                <w:szCs w:val="20"/>
                <w:lang w:val="en-GB"/>
              </w:rPr>
              <w:drawing>
                <wp:inline distT="0" distB="0" distL="0" distR="0" wp14:anchorId="098E1F27" wp14:editId="46B510BC">
                  <wp:extent cx="952500" cy="434938"/>
                  <wp:effectExtent l="0" t="0" r="0" b="3810"/>
                  <wp:docPr id="19274747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474749" name="Picture 19274747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67586" cy="441826"/>
                          </a:xfrm>
                          <a:prstGeom prst="rect">
                            <a:avLst/>
                          </a:prstGeom>
                        </pic:spPr>
                      </pic:pic>
                    </a:graphicData>
                  </a:graphic>
                </wp:inline>
              </w:drawing>
            </w:r>
            <w:r>
              <w:rPr>
                <w:color w:val="D9D9D9" w:themeColor="background1" w:themeShade="D9"/>
                <w:sz w:val="20"/>
                <w:szCs w:val="20"/>
                <w:lang w:val="en-GB"/>
              </w:rPr>
              <w:t xml:space="preserve"> </w:t>
            </w:r>
          </w:p>
        </w:tc>
        <w:tc>
          <w:tcPr>
            <w:tcW w:w="2267" w:type="dxa"/>
            <w:vAlign w:val="center"/>
          </w:tcPr>
          <w:p w14:paraId="37F46E95" w14:textId="269CA7B3" w:rsidR="007676BA" w:rsidRDefault="00DF6B3B" w:rsidP="00DF6B3B">
            <w:pPr>
              <w:pStyle w:val="Heading1"/>
              <w:spacing w:before="100" w:beforeAutospacing="1" w:after="100" w:afterAutospacing="1" w:line="240" w:lineRule="auto"/>
              <w:rPr>
                <w:b/>
                <w:bCs/>
                <w:color w:val="D9D9D9" w:themeColor="background1" w:themeShade="D9"/>
                <w:sz w:val="20"/>
                <w:szCs w:val="20"/>
                <w:lang w:val="en-GB"/>
              </w:rPr>
            </w:pPr>
            <w:r>
              <w:rPr>
                <w:b/>
                <w:bCs/>
                <w:noProof/>
                <w:color w:val="D9D9D9" w:themeColor="background1" w:themeShade="D9"/>
                <w:sz w:val="20"/>
                <w:szCs w:val="20"/>
                <w:lang w:val="en-GB"/>
              </w:rPr>
              <w:drawing>
                <wp:inline distT="0" distB="0" distL="0" distR="0" wp14:anchorId="62DA4582" wp14:editId="5FFDA4AE">
                  <wp:extent cx="1129427" cy="590550"/>
                  <wp:effectExtent l="0" t="0" r="0" b="0"/>
                  <wp:docPr id="21442338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233831" name="Picture 2144233831"/>
                          <pic:cNvPicPr/>
                        </pic:nvPicPr>
                        <pic:blipFill rotWithShape="1">
                          <a:blip r:embed="rId19" cstate="print">
                            <a:extLst>
                              <a:ext uri="{28A0092B-C50C-407E-A947-70E740481C1C}">
                                <a14:useLocalDpi xmlns:a14="http://schemas.microsoft.com/office/drawing/2010/main" val="0"/>
                              </a:ext>
                            </a:extLst>
                          </a:blip>
                          <a:srcRect l="10046" t="16465" r="13109" b="14212"/>
                          <a:stretch>
                            <a:fillRect/>
                          </a:stretch>
                        </pic:blipFill>
                        <pic:spPr bwMode="auto">
                          <a:xfrm>
                            <a:off x="0" y="0"/>
                            <a:ext cx="1131954" cy="591871"/>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vAlign w:val="center"/>
          </w:tcPr>
          <w:p w14:paraId="37432D8F" w14:textId="77777777" w:rsidR="007676BA" w:rsidRPr="00467DAA" w:rsidRDefault="007676BA" w:rsidP="00D47929">
            <w:pPr>
              <w:pStyle w:val="Heading1"/>
              <w:spacing w:before="100" w:beforeAutospacing="1" w:after="100" w:afterAutospacing="1" w:line="240" w:lineRule="auto"/>
              <w:jc w:val="center"/>
              <w:rPr>
                <w:noProof/>
                <w:color w:val="2B579A"/>
                <w:shd w:val="clear" w:color="auto" w:fill="E6E6E6"/>
                <w:lang w:val="en-GB"/>
              </w:rPr>
            </w:pPr>
          </w:p>
        </w:tc>
      </w:tr>
    </w:tbl>
    <w:p w14:paraId="6B9CFF82" w14:textId="77777777" w:rsidR="00243E0E" w:rsidRPr="00467DAA" w:rsidRDefault="00243E0E" w:rsidP="00243E0E">
      <w:pPr>
        <w:pStyle w:val="Header1"/>
        <w:spacing w:before="100" w:beforeAutospacing="1" w:after="100" w:afterAutospacing="1" w:line="240" w:lineRule="auto"/>
        <w:jc w:val="left"/>
        <w:rPr>
          <w:sz w:val="24"/>
          <w:szCs w:val="24"/>
          <w:lang w:val="en-GB"/>
        </w:rPr>
      </w:pPr>
      <w:r w:rsidRPr="00467DAA">
        <w:rPr>
          <w:sz w:val="24"/>
          <w:szCs w:val="24"/>
          <w:lang w:val="en-GB"/>
        </w:rPr>
        <w:t>PRESS RELEASE</w:t>
      </w:r>
    </w:p>
    <w:p w14:paraId="418DAFF1" w14:textId="11729062" w:rsidR="00C73218" w:rsidRPr="00467DAA" w:rsidRDefault="00C73218" w:rsidP="00D47929">
      <w:pPr>
        <w:pStyle w:val="Header1"/>
        <w:spacing w:before="100" w:beforeAutospacing="1" w:after="100" w:afterAutospacing="1" w:line="240" w:lineRule="auto"/>
        <w:jc w:val="left"/>
        <w:rPr>
          <w:b w:val="0"/>
          <w:bCs/>
          <w:color w:val="auto"/>
          <w:sz w:val="20"/>
          <w:szCs w:val="20"/>
          <w:lang w:val="en-GB"/>
        </w:rPr>
      </w:pPr>
      <w:r w:rsidRPr="00467DAA">
        <w:rPr>
          <w:b w:val="0"/>
          <w:bCs/>
          <w:color w:val="auto"/>
          <w:sz w:val="20"/>
          <w:szCs w:val="20"/>
          <w:lang w:val="en-GB"/>
        </w:rPr>
        <w:t xml:space="preserve">Luxembourg / </w:t>
      </w:r>
      <w:r w:rsidR="00FB0FDE" w:rsidRPr="00467DAA">
        <w:rPr>
          <w:b w:val="0"/>
          <w:bCs/>
          <w:color w:val="auto"/>
          <w:sz w:val="20"/>
          <w:szCs w:val="20"/>
          <w:lang w:val="en-GB"/>
        </w:rPr>
        <w:t>Ljubljana / Bucharest / Sofia / Vilnius / Warsaw / Zagreb</w:t>
      </w:r>
      <w:r w:rsidRPr="00467DAA">
        <w:rPr>
          <w:b w:val="0"/>
          <w:bCs/>
          <w:color w:val="auto"/>
          <w:sz w:val="20"/>
          <w:szCs w:val="20"/>
          <w:lang w:val="en-GB"/>
        </w:rPr>
        <w:t xml:space="preserve"> - </w:t>
      </w:r>
      <w:r w:rsidR="00FB0FDE" w:rsidRPr="00467DAA">
        <w:rPr>
          <w:b w:val="0"/>
          <w:bCs/>
          <w:color w:val="auto"/>
          <w:sz w:val="20"/>
          <w:szCs w:val="20"/>
          <w:lang w:val="en-GB"/>
        </w:rPr>
        <w:t>24</w:t>
      </w:r>
      <w:r w:rsidRPr="00467DAA">
        <w:rPr>
          <w:b w:val="0"/>
          <w:bCs/>
          <w:color w:val="auto"/>
          <w:sz w:val="20"/>
          <w:szCs w:val="20"/>
          <w:lang w:val="en-GB"/>
        </w:rPr>
        <w:t xml:space="preserve"> September 202</w:t>
      </w:r>
      <w:r w:rsidR="00FB0FDE" w:rsidRPr="00467DAA">
        <w:rPr>
          <w:b w:val="0"/>
          <w:bCs/>
          <w:color w:val="auto"/>
          <w:sz w:val="20"/>
          <w:szCs w:val="20"/>
          <w:lang w:val="en-GB"/>
        </w:rPr>
        <w:t>6</w:t>
      </w:r>
    </w:p>
    <w:p w14:paraId="60EC29ED" w14:textId="29E8314F" w:rsidR="00C0742C" w:rsidRPr="00467DAA" w:rsidRDefault="001D36C6" w:rsidP="00A36C37">
      <w:pPr>
        <w:pStyle w:val="EIBbullets"/>
        <w:numPr>
          <w:ilvl w:val="0"/>
          <w:numId w:val="0"/>
        </w:numPr>
        <w:spacing w:after="120"/>
        <w:ind w:left="357"/>
        <w:jc w:val="center"/>
        <w:rPr>
          <w:sz w:val="28"/>
          <w:szCs w:val="28"/>
          <w:lang w:val="en-GB"/>
        </w:rPr>
      </w:pPr>
      <w:r>
        <w:rPr>
          <w:sz w:val="28"/>
          <w:szCs w:val="28"/>
          <w:lang w:val="en-GB"/>
        </w:rPr>
        <w:t xml:space="preserve">EIF </w:t>
      </w:r>
      <w:r w:rsidR="003435B8">
        <w:rPr>
          <w:sz w:val="28"/>
          <w:szCs w:val="28"/>
          <w:lang w:val="en-GB"/>
        </w:rPr>
        <w:t>join</w:t>
      </w:r>
      <w:r w:rsidR="008C0CA5">
        <w:rPr>
          <w:sz w:val="28"/>
          <w:szCs w:val="28"/>
          <w:lang w:val="en-GB"/>
        </w:rPr>
        <w:t>s</w:t>
      </w:r>
      <w:r w:rsidR="003435B8">
        <w:rPr>
          <w:sz w:val="28"/>
          <w:szCs w:val="28"/>
          <w:lang w:val="en-GB"/>
        </w:rPr>
        <w:t xml:space="preserve"> forces </w:t>
      </w:r>
      <w:r w:rsidR="00DF16A6">
        <w:rPr>
          <w:sz w:val="28"/>
          <w:szCs w:val="28"/>
          <w:lang w:val="en-GB"/>
        </w:rPr>
        <w:t xml:space="preserve">with six EU countries </w:t>
      </w:r>
      <w:r w:rsidR="00A64289">
        <w:rPr>
          <w:sz w:val="28"/>
          <w:szCs w:val="28"/>
          <w:lang w:val="en-GB"/>
        </w:rPr>
        <w:t>to</w:t>
      </w:r>
      <w:r w:rsidR="00DF16A6">
        <w:rPr>
          <w:sz w:val="28"/>
          <w:szCs w:val="28"/>
          <w:lang w:val="en-GB"/>
        </w:rPr>
        <w:t xml:space="preserve"> spur</w:t>
      </w:r>
      <w:r w:rsidR="00A64289">
        <w:rPr>
          <w:sz w:val="28"/>
          <w:szCs w:val="28"/>
          <w:lang w:val="en-GB"/>
        </w:rPr>
        <w:t xml:space="preserve"> </w:t>
      </w:r>
      <w:r w:rsidR="008C0CA5">
        <w:rPr>
          <w:sz w:val="28"/>
          <w:szCs w:val="28"/>
          <w:lang w:val="en-GB"/>
        </w:rPr>
        <w:t xml:space="preserve">at least </w:t>
      </w:r>
      <w:r w:rsidR="004A513C">
        <w:rPr>
          <w:sz w:val="28"/>
          <w:szCs w:val="28"/>
          <w:lang w:val="en-GB"/>
        </w:rPr>
        <w:t xml:space="preserve">€2 billion </w:t>
      </w:r>
      <w:r w:rsidR="00DF16A6">
        <w:rPr>
          <w:sz w:val="28"/>
          <w:szCs w:val="28"/>
          <w:lang w:val="en-GB"/>
        </w:rPr>
        <w:t>for</w:t>
      </w:r>
      <w:r w:rsidR="004A513C">
        <w:rPr>
          <w:sz w:val="28"/>
          <w:szCs w:val="28"/>
          <w:lang w:val="en-GB"/>
        </w:rPr>
        <w:t xml:space="preserve"> </w:t>
      </w:r>
      <w:r w:rsidR="001A3AB8">
        <w:rPr>
          <w:sz w:val="28"/>
          <w:szCs w:val="28"/>
          <w:lang w:val="en-GB"/>
        </w:rPr>
        <w:t>infrastructure</w:t>
      </w:r>
      <w:r w:rsidR="00DF16A6">
        <w:rPr>
          <w:sz w:val="28"/>
          <w:szCs w:val="28"/>
          <w:lang w:val="en-GB"/>
        </w:rPr>
        <w:t xml:space="preserve"> </w:t>
      </w:r>
      <w:r w:rsidR="00A36C37">
        <w:rPr>
          <w:sz w:val="28"/>
          <w:szCs w:val="28"/>
          <w:lang w:val="en-GB"/>
        </w:rPr>
        <w:t xml:space="preserve">between </w:t>
      </w:r>
      <w:r w:rsidR="0023241A" w:rsidRPr="00467DAA">
        <w:rPr>
          <w:sz w:val="28"/>
          <w:szCs w:val="28"/>
          <w:lang w:val="en-GB"/>
        </w:rPr>
        <w:t>Baltic, Adriatic and Black sea</w:t>
      </w:r>
      <w:r w:rsidR="00C114EA">
        <w:rPr>
          <w:sz w:val="28"/>
          <w:szCs w:val="28"/>
          <w:lang w:val="en-GB"/>
        </w:rPr>
        <w:t>s</w:t>
      </w:r>
    </w:p>
    <w:p w14:paraId="105682D2" w14:textId="7ED1A8BB" w:rsidR="00C06ACD" w:rsidRDefault="0023241A" w:rsidP="003457E9">
      <w:pPr>
        <w:pStyle w:val="EIBbullets"/>
        <w:rPr>
          <w:lang w:val="en-GB"/>
        </w:rPr>
      </w:pPr>
      <w:r w:rsidRPr="00C06ACD">
        <w:rPr>
          <w:lang w:val="en-GB"/>
        </w:rPr>
        <w:t xml:space="preserve">EIF </w:t>
      </w:r>
      <w:r w:rsidR="007F5752">
        <w:rPr>
          <w:lang w:val="en-GB"/>
        </w:rPr>
        <w:t xml:space="preserve">and </w:t>
      </w:r>
      <w:r w:rsidR="000929C3" w:rsidRPr="000929C3">
        <w:rPr>
          <w:lang w:val="en-GB"/>
        </w:rPr>
        <w:t xml:space="preserve">Poland’s BGK, Romania’s BID, Lithuania’s ILTE, </w:t>
      </w:r>
      <w:r w:rsidR="00594EC9">
        <w:rPr>
          <w:lang w:val="en-GB"/>
        </w:rPr>
        <w:t xml:space="preserve">Bulgaria’s </w:t>
      </w:r>
      <w:r w:rsidR="000929C3" w:rsidRPr="000929C3">
        <w:rPr>
          <w:lang w:val="en-GB"/>
        </w:rPr>
        <w:t>JEREMIE, Croatia’s HBOR and Slovenia’s SID Kapital</w:t>
      </w:r>
      <w:r w:rsidR="005B66A5">
        <w:rPr>
          <w:lang w:val="en-GB"/>
        </w:rPr>
        <w:t xml:space="preserve"> kick off</w:t>
      </w:r>
      <w:r w:rsidR="003C4EA0">
        <w:rPr>
          <w:lang w:val="en-GB"/>
        </w:rPr>
        <w:t xml:space="preserve"> infrastructure</w:t>
      </w:r>
      <w:r w:rsidR="009C60BC">
        <w:rPr>
          <w:lang w:val="en-GB"/>
        </w:rPr>
        <w:t xml:space="preserve"> investment </w:t>
      </w:r>
      <w:r w:rsidR="003C4EA0">
        <w:rPr>
          <w:lang w:val="en-GB"/>
        </w:rPr>
        <w:t>fund</w:t>
      </w:r>
      <w:r w:rsidR="00E2678F">
        <w:t xml:space="preserve"> with commitments </w:t>
      </w:r>
      <w:r w:rsidR="000D6233">
        <w:t>totaling</w:t>
      </w:r>
      <w:r w:rsidR="003C4EA0">
        <w:t xml:space="preserve"> </w:t>
      </w:r>
      <w:r w:rsidR="00E2678F">
        <w:t>€360 million</w:t>
      </w:r>
      <w:r w:rsidR="00C0742C" w:rsidRPr="00C06ACD">
        <w:rPr>
          <w:lang w:val="en-GB"/>
        </w:rPr>
        <w:t>.</w:t>
      </w:r>
    </w:p>
    <w:p w14:paraId="21BB6D0C" w14:textId="77777777" w:rsidR="000D6233" w:rsidRDefault="000D6233" w:rsidP="000D6233">
      <w:pPr>
        <w:pStyle w:val="EIBbullets"/>
        <w:numPr>
          <w:ilvl w:val="0"/>
          <w:numId w:val="0"/>
        </w:numPr>
        <w:ind w:left="720"/>
        <w:rPr>
          <w:lang w:val="en-GB"/>
        </w:rPr>
      </w:pPr>
    </w:p>
    <w:p w14:paraId="502741A2" w14:textId="4CCB2F73" w:rsidR="00C0742C" w:rsidRDefault="003C4EA0" w:rsidP="000D6233">
      <w:pPr>
        <w:pStyle w:val="EIBbullets"/>
        <w:rPr>
          <w:lang w:val="en-GB"/>
        </w:rPr>
      </w:pPr>
      <w:r>
        <w:t xml:space="preserve">New </w:t>
      </w:r>
      <w:r w:rsidR="00AA77CF">
        <w:t>“</w:t>
      </w:r>
      <w:r w:rsidR="00AA77CF" w:rsidRPr="00467DAA">
        <w:t>Three Seas Initiative Infrastructure Fund of Funds</w:t>
      </w:r>
      <w:r w:rsidR="00AA77CF">
        <w:t xml:space="preserve">” </w:t>
      </w:r>
      <w:r w:rsidR="00610DBA">
        <w:rPr>
          <w:lang w:val="en-GB"/>
        </w:rPr>
        <w:t>aims</w:t>
      </w:r>
      <w:r w:rsidR="00F6705C">
        <w:rPr>
          <w:lang w:val="en-GB"/>
        </w:rPr>
        <w:t xml:space="preserve"> </w:t>
      </w:r>
      <w:r w:rsidR="0023241A" w:rsidRPr="00C06ACD">
        <w:rPr>
          <w:lang w:val="en-GB"/>
        </w:rPr>
        <w:t xml:space="preserve">to mobilise </w:t>
      </w:r>
      <w:r w:rsidR="008C0CA5">
        <w:rPr>
          <w:lang w:val="en-GB"/>
        </w:rPr>
        <w:t xml:space="preserve">at least </w:t>
      </w:r>
      <w:r w:rsidR="0023241A" w:rsidRPr="00C06ACD">
        <w:rPr>
          <w:lang w:val="en-GB"/>
        </w:rPr>
        <w:t xml:space="preserve">€2 billion for </w:t>
      </w:r>
      <w:r w:rsidR="008C0CA5" w:rsidRPr="008C0CA5">
        <w:rPr>
          <w:lang w:val="en-GB"/>
        </w:rPr>
        <w:t xml:space="preserve">energy, mobility, digital and social infrastructure </w:t>
      </w:r>
      <w:r w:rsidR="007F4C36">
        <w:rPr>
          <w:lang w:val="en-GB"/>
        </w:rPr>
        <w:t>between Baltic, Adriatic and Blacks seas</w:t>
      </w:r>
      <w:r w:rsidR="00C0742C" w:rsidRPr="00C06ACD">
        <w:rPr>
          <w:lang w:val="en-GB"/>
        </w:rPr>
        <w:t>.</w:t>
      </w:r>
    </w:p>
    <w:p w14:paraId="1BEC8E26" w14:textId="77777777" w:rsidR="000D6233" w:rsidRPr="003457E9" w:rsidRDefault="000D6233" w:rsidP="000D6233">
      <w:pPr>
        <w:pStyle w:val="EIBbullets"/>
        <w:numPr>
          <w:ilvl w:val="0"/>
          <w:numId w:val="0"/>
        </w:numPr>
        <w:ind w:left="720"/>
        <w:rPr>
          <w:lang w:val="en-GB"/>
        </w:rPr>
      </w:pPr>
    </w:p>
    <w:p w14:paraId="0F8A9F44" w14:textId="2D3DA8A2" w:rsidR="00C0742C" w:rsidRPr="00467DAA" w:rsidRDefault="005C0225" w:rsidP="004B07E9">
      <w:pPr>
        <w:pStyle w:val="EIBbullets"/>
        <w:rPr>
          <w:lang w:val="en-GB"/>
        </w:rPr>
      </w:pPr>
      <w:r>
        <w:rPr>
          <w:lang w:val="en-GB"/>
        </w:rPr>
        <w:t xml:space="preserve">Operation marks </w:t>
      </w:r>
      <w:r w:rsidR="00FF3D5B" w:rsidRPr="00467DAA">
        <w:rPr>
          <w:lang w:val="en-GB"/>
        </w:rPr>
        <w:t>EIF’s first multi-country</w:t>
      </w:r>
      <w:r w:rsidR="0023241A" w:rsidRPr="00467DAA">
        <w:rPr>
          <w:lang w:val="en-GB"/>
        </w:rPr>
        <w:t xml:space="preserve"> </w:t>
      </w:r>
      <w:r w:rsidR="00FF3D5B" w:rsidRPr="00467DAA">
        <w:rPr>
          <w:lang w:val="en-GB"/>
        </w:rPr>
        <w:t>investment programme focused on infrastructure</w:t>
      </w:r>
      <w:r w:rsidR="0086407B">
        <w:rPr>
          <w:lang w:val="en-GB"/>
        </w:rPr>
        <w:t xml:space="preserve"> and</w:t>
      </w:r>
      <w:r w:rsidR="00FF3D5B" w:rsidRPr="00467DAA">
        <w:rPr>
          <w:lang w:val="en-GB"/>
        </w:rPr>
        <w:t xml:space="preserve"> one of its largest</w:t>
      </w:r>
      <w:r w:rsidR="00660842">
        <w:rPr>
          <w:lang w:val="en-GB"/>
        </w:rPr>
        <w:t xml:space="preserve"> </w:t>
      </w:r>
      <w:r w:rsidR="00FF3D5B" w:rsidRPr="00467DAA">
        <w:rPr>
          <w:lang w:val="en-GB"/>
        </w:rPr>
        <w:t xml:space="preserve">co-investment </w:t>
      </w:r>
      <w:r w:rsidR="00F63038" w:rsidRPr="00467DAA">
        <w:rPr>
          <w:lang w:val="en-GB"/>
        </w:rPr>
        <w:t>commitment</w:t>
      </w:r>
      <w:r w:rsidR="00C0742C" w:rsidRPr="00467DAA">
        <w:rPr>
          <w:lang w:val="en-GB"/>
        </w:rPr>
        <w:t xml:space="preserve">s. </w:t>
      </w:r>
    </w:p>
    <w:p w14:paraId="74C5570B" w14:textId="64090002" w:rsidR="0078593E" w:rsidRDefault="00A45097" w:rsidP="00064CCC">
      <w:pPr>
        <w:pStyle w:val="EIB"/>
      </w:pPr>
      <w:r w:rsidRPr="00467DAA">
        <w:t>The European Investment Fund (EIF)</w:t>
      </w:r>
      <w:r w:rsidR="00E70935">
        <w:t xml:space="preserve"> is teaming up </w:t>
      </w:r>
      <w:r w:rsidRPr="00467DAA">
        <w:t>with Poland, Romania, Lithuania, Bulgaria, Croatia and Slovenia</w:t>
      </w:r>
      <w:r w:rsidR="009C60F5">
        <w:t xml:space="preserve"> </w:t>
      </w:r>
      <w:r w:rsidR="00683623">
        <w:t xml:space="preserve">in a €360 million </w:t>
      </w:r>
      <w:r w:rsidR="00554514">
        <w:t>drive</w:t>
      </w:r>
      <w:r w:rsidR="00683623">
        <w:t xml:space="preserve"> </w:t>
      </w:r>
      <w:r w:rsidR="009C60F5">
        <w:t xml:space="preserve">to </w:t>
      </w:r>
      <w:r w:rsidR="007B61D7">
        <w:t xml:space="preserve">spur the development of strategic infrastructure </w:t>
      </w:r>
      <w:r w:rsidR="00A068B6">
        <w:t>between the Baltic</w:t>
      </w:r>
      <w:r w:rsidRPr="00467DAA">
        <w:t xml:space="preserve">, </w:t>
      </w:r>
      <w:r w:rsidR="00683623">
        <w:t>Adriatic and Black seas.</w:t>
      </w:r>
    </w:p>
    <w:p w14:paraId="09BBAF07" w14:textId="3BF41DD4" w:rsidR="00A45097" w:rsidRPr="00467DAA" w:rsidRDefault="0078593E" w:rsidP="00064CCC">
      <w:pPr>
        <w:pStyle w:val="EIB"/>
      </w:pPr>
      <w:r>
        <w:t xml:space="preserve">The EIF, which is part of the </w:t>
      </w:r>
      <w:r w:rsidR="00AB1AC3">
        <w:t xml:space="preserve">European Investment Bank (EIB) Group, and </w:t>
      </w:r>
      <w:r w:rsidR="008C0CA5" w:rsidRPr="008C0CA5">
        <w:t>institutions from the six countries</w:t>
      </w:r>
      <w:r w:rsidR="006B7173">
        <w:t xml:space="preserve"> </w:t>
      </w:r>
      <w:r w:rsidR="00A45097" w:rsidRPr="00467DAA">
        <w:t>today</w:t>
      </w:r>
      <w:r w:rsidR="00FB0FDE" w:rsidRPr="00467DAA">
        <w:t xml:space="preserve"> </w:t>
      </w:r>
      <w:r w:rsidR="00A45097" w:rsidRPr="00467DAA">
        <w:t xml:space="preserve">launched </w:t>
      </w:r>
      <w:r w:rsidR="00D3201F">
        <w:t xml:space="preserve">the </w:t>
      </w:r>
      <w:r w:rsidR="0099746F">
        <w:t>“</w:t>
      </w:r>
      <w:r w:rsidR="00A45097" w:rsidRPr="00467DAA">
        <w:t>Three Seas Initiative Infrastructure Fund of Funds</w:t>
      </w:r>
      <w:r w:rsidR="00E83533">
        <w:t>”</w:t>
      </w:r>
      <w:r w:rsidR="002068FC">
        <w:t xml:space="preserve">. </w:t>
      </w:r>
      <w:r w:rsidR="0066481E">
        <w:t xml:space="preserve">The </w:t>
      </w:r>
      <w:r w:rsidR="00414EC0">
        <w:t xml:space="preserve">aim is </w:t>
      </w:r>
      <w:r w:rsidR="00A45097" w:rsidRPr="00467DAA">
        <w:t xml:space="preserve">to channel capital into </w:t>
      </w:r>
      <w:r w:rsidR="0066481E">
        <w:t xml:space="preserve">development </w:t>
      </w:r>
      <w:r w:rsidR="00006FF8">
        <w:t>projects</w:t>
      </w:r>
      <w:r w:rsidR="0066481E">
        <w:t xml:space="preserve"> in </w:t>
      </w:r>
      <w:r w:rsidR="000F2F20">
        <w:t>sectors</w:t>
      </w:r>
      <w:r w:rsidR="0066481E">
        <w:t xml:space="preserve"> including</w:t>
      </w:r>
      <w:r w:rsidR="00475F9A">
        <w:t xml:space="preserve"> </w:t>
      </w:r>
      <w:r w:rsidR="008C0CA5" w:rsidRPr="008C0CA5">
        <w:t>energy, mobility</w:t>
      </w:r>
      <w:r w:rsidR="008C0CA5">
        <w:t xml:space="preserve"> and</w:t>
      </w:r>
      <w:r w:rsidR="008C0CA5" w:rsidRPr="008C0CA5">
        <w:t xml:space="preserve"> digital and social infrastructure</w:t>
      </w:r>
      <w:r w:rsidR="00111E40" w:rsidRPr="00467DAA">
        <w:t>.</w:t>
      </w:r>
      <w:r w:rsidR="00FB0FDE" w:rsidRPr="00467DAA">
        <w:t xml:space="preserve"> The sign</w:t>
      </w:r>
      <w:r w:rsidR="00F97F4A">
        <w:t>ing</w:t>
      </w:r>
      <w:r w:rsidR="009C105B">
        <w:t xml:space="preserve"> </w:t>
      </w:r>
      <w:r w:rsidR="00FB0FDE" w:rsidRPr="00467DAA">
        <w:t>took place in Ljubljana</w:t>
      </w:r>
      <w:r w:rsidR="009C105B">
        <w:t xml:space="preserve"> at an event</w:t>
      </w:r>
      <w:r w:rsidR="00FB0FDE" w:rsidRPr="00467DAA">
        <w:t xml:space="preserve"> hosted by Slovenia</w:t>
      </w:r>
      <w:r w:rsidR="00FD7E00">
        <w:t>n national promotional bank</w:t>
      </w:r>
      <w:r w:rsidR="00FB0FDE" w:rsidRPr="00467DAA">
        <w:t xml:space="preserve"> SID Banka</w:t>
      </w:r>
      <w:r w:rsidR="000929C3">
        <w:t>, on</w:t>
      </w:r>
      <w:r w:rsidR="000929C3" w:rsidRPr="000929C3">
        <w:t xml:space="preserve"> the margins of the ELTI (European Long-Term Investors Association) General Assembly.</w:t>
      </w:r>
    </w:p>
    <w:p w14:paraId="6524B920" w14:textId="15FA31EE" w:rsidR="00C0742C" w:rsidRPr="00467DAA" w:rsidRDefault="0023241A" w:rsidP="00064CCC">
      <w:pPr>
        <w:pStyle w:val="EIB"/>
      </w:pPr>
      <w:r w:rsidRPr="00467DAA">
        <w:t xml:space="preserve">The six </w:t>
      </w:r>
      <w:r w:rsidR="000A5521">
        <w:t xml:space="preserve">national </w:t>
      </w:r>
      <w:r w:rsidR="005F4592">
        <w:t>entities</w:t>
      </w:r>
      <w:r w:rsidRPr="00467DAA">
        <w:t xml:space="preserve"> are committing </w:t>
      </w:r>
      <w:r w:rsidR="0066481E">
        <w:t xml:space="preserve">a combined </w:t>
      </w:r>
      <w:r w:rsidRPr="00467DAA">
        <w:t xml:space="preserve">€180 million </w:t>
      </w:r>
      <w:r w:rsidR="0066481E">
        <w:t>and t</w:t>
      </w:r>
      <w:r w:rsidR="00C0742C" w:rsidRPr="00467DAA">
        <w:t>he</w:t>
      </w:r>
      <w:r w:rsidRPr="00467DAA">
        <w:t xml:space="preserve"> EIF will match </w:t>
      </w:r>
      <w:r w:rsidR="00477FF2">
        <w:t xml:space="preserve">the </w:t>
      </w:r>
      <w:r w:rsidR="006A3E06">
        <w:t>sum</w:t>
      </w:r>
      <w:r w:rsidRPr="00467DAA">
        <w:t xml:space="preserve"> </w:t>
      </w:r>
      <w:r w:rsidR="00DD613E">
        <w:t xml:space="preserve">– </w:t>
      </w:r>
      <w:r w:rsidR="00E276DD">
        <w:t xml:space="preserve">one </w:t>
      </w:r>
      <w:r w:rsidRPr="00467DAA">
        <w:t xml:space="preserve">of its largest co-investment commitments </w:t>
      </w:r>
      <w:r w:rsidR="00797CA0">
        <w:t xml:space="preserve">to date </w:t>
      </w:r>
      <w:r w:rsidRPr="00467DAA">
        <w:t xml:space="preserve">under a regional mandate </w:t>
      </w:r>
      <w:r w:rsidR="00F47561">
        <w:t>in the European Union</w:t>
      </w:r>
      <w:r w:rsidR="00797CA0">
        <w:t xml:space="preserve"> </w:t>
      </w:r>
      <w:r w:rsidR="005C0225">
        <w:t xml:space="preserve">and </w:t>
      </w:r>
      <w:r w:rsidR="00FC2266">
        <w:t>its first multi-country investment programme focused on infrastructure</w:t>
      </w:r>
      <w:r w:rsidR="00FF3D5B" w:rsidRPr="00467DAA">
        <w:t>.</w:t>
      </w:r>
      <w:r w:rsidR="00DD613E">
        <w:t xml:space="preserve"> </w:t>
      </w:r>
      <w:r w:rsidR="00C0742C" w:rsidRPr="00467DAA">
        <w:t xml:space="preserve">The overall ambition of the </w:t>
      </w:r>
      <w:r w:rsidR="00E83533">
        <w:t>initiative</w:t>
      </w:r>
      <w:r w:rsidR="00C0742C" w:rsidRPr="00467DAA">
        <w:t xml:space="preserve"> is to mobilise</w:t>
      </w:r>
      <w:r w:rsidR="001E71AE">
        <w:t xml:space="preserve"> – </w:t>
      </w:r>
      <w:r w:rsidR="00C0742C" w:rsidRPr="00467DAA">
        <w:t>through investments in several infrastructure funds</w:t>
      </w:r>
      <w:r w:rsidR="001E71AE">
        <w:t xml:space="preserve"> –</w:t>
      </w:r>
      <w:r w:rsidR="00C0742C" w:rsidRPr="00467DAA">
        <w:t xml:space="preserve"> at least €2 billion.</w:t>
      </w:r>
      <w:r w:rsidR="00064CCC" w:rsidRPr="00467DAA">
        <w:t xml:space="preserve"> </w:t>
      </w:r>
    </w:p>
    <w:p w14:paraId="06C5F81D" w14:textId="3D4A21C0" w:rsidR="004B07E9" w:rsidRPr="00467DAA" w:rsidRDefault="00A03E9B" w:rsidP="000D6233">
      <w:pPr>
        <w:spacing w:before="0" w:after="0" w:line="240" w:lineRule="auto"/>
        <w:jc w:val="both"/>
      </w:pPr>
      <w:r w:rsidRPr="00A03E9B">
        <w:t>"The best infrastructure investment is one that also creates the investors</w:t>
      </w:r>
      <w:r w:rsidR="001E71AE">
        <w:t xml:space="preserve">,” </w:t>
      </w:r>
      <w:r w:rsidR="001E71AE" w:rsidRPr="00202AF3">
        <w:rPr>
          <w:rFonts w:cs="Arial"/>
        </w:rPr>
        <w:t xml:space="preserve">said </w:t>
      </w:r>
      <w:r w:rsidR="001E71AE" w:rsidRPr="00202AF3">
        <w:rPr>
          <w:rFonts w:cs="Arial"/>
          <w:b/>
          <w:bCs/>
        </w:rPr>
        <w:t xml:space="preserve">EIB </w:t>
      </w:r>
      <w:r w:rsidR="00656080">
        <w:rPr>
          <w:rFonts w:cs="Arial"/>
          <w:b/>
          <w:bCs/>
        </w:rPr>
        <w:t xml:space="preserve">Group </w:t>
      </w:r>
      <w:r w:rsidR="001E71AE" w:rsidRPr="00202AF3">
        <w:rPr>
          <w:rFonts w:cs="Arial"/>
          <w:b/>
          <w:bCs/>
        </w:rPr>
        <w:t>Vice-President Marko Primora</w:t>
      </w:r>
      <w:r w:rsidR="001E71AE">
        <w:rPr>
          <w:rFonts w:cs="Arial"/>
          <w:b/>
          <w:bCs/>
        </w:rPr>
        <w:t xml:space="preserve">c. </w:t>
      </w:r>
      <w:r w:rsidR="001E71AE" w:rsidRPr="000D6233">
        <w:rPr>
          <w:rFonts w:cs="Arial"/>
        </w:rPr>
        <w:t>“</w:t>
      </w:r>
      <w:r w:rsidRPr="00A03E9B">
        <w:t xml:space="preserve">That is what this </w:t>
      </w:r>
      <w:r w:rsidR="000A5521">
        <w:t>initiative</w:t>
      </w:r>
      <w:r w:rsidRPr="00A03E9B">
        <w:t xml:space="preserve"> does: every euro </w:t>
      </w:r>
      <w:r w:rsidR="00052AC2">
        <w:t>o</w:t>
      </w:r>
      <w:r w:rsidRPr="00A03E9B">
        <w:t xml:space="preserve">ur partners commit is matched by the EIF and the funds we back become the region's own capacity to keep building. Six countries are here today. The door is open for </w:t>
      </w:r>
      <w:proofErr w:type="gramStart"/>
      <w:r w:rsidR="000D6233" w:rsidRPr="00A03E9B">
        <w:t>more</w:t>
      </w:r>
      <w:r w:rsidR="00464293">
        <w:t>.</w:t>
      </w:r>
      <w:r>
        <w:t>’</w:t>
      </w:r>
      <w:proofErr w:type="gramEnd"/>
      <w:r w:rsidR="00464293">
        <w:t>’</w:t>
      </w:r>
      <w:r w:rsidRPr="00A03E9B">
        <w:rPr>
          <w:rFonts w:cs="Arial"/>
        </w:rPr>
        <w:t xml:space="preserve"> </w:t>
      </w:r>
    </w:p>
    <w:p w14:paraId="06404E19" w14:textId="3FF3BF2C" w:rsidR="00C4033F" w:rsidRDefault="002068FC" w:rsidP="00064CCC">
      <w:pPr>
        <w:pStyle w:val="EIB"/>
      </w:pPr>
      <w:r>
        <w:t xml:space="preserve">The </w:t>
      </w:r>
      <w:r w:rsidR="00D853EF">
        <w:t xml:space="preserve">Three Seas </w:t>
      </w:r>
      <w:r w:rsidR="00ED4FA4">
        <w:t xml:space="preserve">Initiative </w:t>
      </w:r>
      <w:r>
        <w:t>Infrastructure Fund of Funds</w:t>
      </w:r>
      <w:r w:rsidR="00947F09">
        <w:t xml:space="preserve"> </w:t>
      </w:r>
      <w:r w:rsidR="002D7845">
        <w:t xml:space="preserve">will </w:t>
      </w:r>
      <w:r w:rsidR="004B07E9" w:rsidRPr="00467DAA">
        <w:t>spread its capital across several</w:t>
      </w:r>
      <w:r w:rsidR="00E209D7">
        <w:t xml:space="preserve"> funds</w:t>
      </w:r>
      <w:r w:rsidR="004B07E9" w:rsidRPr="00467DAA">
        <w:t xml:space="preserve"> including </w:t>
      </w:r>
      <w:r w:rsidR="00E209D7">
        <w:t>ones</w:t>
      </w:r>
      <w:r w:rsidR="004B07E9" w:rsidRPr="00467DAA">
        <w:t xml:space="preserve"> </w:t>
      </w:r>
      <w:r w:rsidR="008077D9">
        <w:t>led</w:t>
      </w:r>
      <w:r w:rsidR="004B07E9" w:rsidRPr="00467DAA">
        <w:t xml:space="preserve"> by first-time and emerging </w:t>
      </w:r>
      <w:r w:rsidR="00424F1C">
        <w:t xml:space="preserve">management </w:t>
      </w:r>
      <w:r w:rsidR="004B07E9" w:rsidRPr="00467DAA">
        <w:t>teams based in the participating countries</w:t>
      </w:r>
      <w:r w:rsidR="00A315EF">
        <w:t xml:space="preserve"> </w:t>
      </w:r>
      <w:r w:rsidR="00E87307">
        <w:t>and</w:t>
      </w:r>
      <w:r w:rsidR="00A315EF">
        <w:t xml:space="preserve"> </w:t>
      </w:r>
      <w:r w:rsidR="004B07E9" w:rsidRPr="00467DAA">
        <w:t xml:space="preserve">pan-European funds committing capital to the region. </w:t>
      </w:r>
    </w:p>
    <w:p w14:paraId="6C83014B" w14:textId="04F9CEE8" w:rsidR="004B07E9" w:rsidRPr="00467DAA" w:rsidRDefault="004B07E9" w:rsidP="00064CCC">
      <w:pPr>
        <w:pStyle w:val="EIB"/>
      </w:pPr>
      <w:r w:rsidRPr="00467DAA">
        <w:t xml:space="preserve">The aim is to support a broader range of </w:t>
      </w:r>
      <w:r w:rsidR="00C4033F">
        <w:t xml:space="preserve">investment </w:t>
      </w:r>
      <w:r w:rsidRPr="00467DAA">
        <w:t>strategies and teams, encourage regional infrastructure managers to form and scale and attract additional private and institutional capital.</w:t>
      </w:r>
      <w:r w:rsidRPr="00467DAA" w:rsidDel="004B07E9">
        <w:t xml:space="preserve"> </w:t>
      </w:r>
    </w:p>
    <w:p w14:paraId="6624F8EE" w14:textId="34E3A57C" w:rsidR="0087794F" w:rsidRPr="00BE5022" w:rsidRDefault="00FA287F" w:rsidP="00064CCC">
      <w:pPr>
        <w:pStyle w:val="EIB"/>
        <w:rPr>
          <w:b/>
          <w:bCs/>
        </w:rPr>
      </w:pPr>
      <w:r w:rsidRPr="00FA287F">
        <w:t xml:space="preserve">“Infrastructure connects people, businesses and investments,” said </w:t>
      </w:r>
      <w:r w:rsidRPr="00FA287F">
        <w:rPr>
          <w:b/>
          <w:bCs/>
        </w:rPr>
        <w:t>EIF Chief Executive Marjut Falkstedt</w:t>
      </w:r>
      <w:r w:rsidRPr="00FA287F">
        <w:t xml:space="preserve">. “This new regional investment channel will connect strategic infrastructure across several </w:t>
      </w:r>
      <w:r w:rsidRPr="00FA287F">
        <w:lastRenderedPageBreak/>
        <w:t xml:space="preserve">countries. By bringing together national and EIF resources, we can </w:t>
      </w:r>
      <w:r w:rsidR="00B34CA1" w:rsidRPr="00FA287F">
        <w:t>support</w:t>
      </w:r>
      <w:r w:rsidR="007F7FE3">
        <w:t>,</w:t>
      </w:r>
      <w:r w:rsidR="00B34CA1" w:rsidRPr="00FA287F">
        <w:t xml:space="preserve"> and</w:t>
      </w:r>
      <w:r w:rsidRPr="00FA287F">
        <w:t xml:space="preserve"> </w:t>
      </w:r>
      <w:r w:rsidR="00DF6B3B" w:rsidRPr="00FA287F">
        <w:t>create</w:t>
      </w:r>
      <w:r w:rsidRPr="00FA287F">
        <w:t xml:space="preserve"> concrete projects on the ground</w:t>
      </w:r>
      <w:r w:rsidR="007F7FE3">
        <w:t>,</w:t>
      </w:r>
      <w:r w:rsidRPr="00FA287F">
        <w:t xml:space="preserve"> providing real impact to both the region and Europe.”</w:t>
      </w:r>
    </w:p>
    <w:p w14:paraId="5F244C96" w14:textId="36CD7706" w:rsidR="0087794F" w:rsidRDefault="0087794F" w:rsidP="00064CCC">
      <w:pPr>
        <w:pStyle w:val="EIB"/>
      </w:pPr>
      <w:r w:rsidRPr="00467DAA">
        <w:t>Th</w:t>
      </w:r>
      <w:r w:rsidR="00DA192F">
        <w:t>e Three Seas Initiative Infrastructure Fund of Funds</w:t>
      </w:r>
      <w:r w:rsidRPr="00467DAA">
        <w:t xml:space="preserve"> </w:t>
      </w:r>
      <w:r w:rsidR="00DA192F">
        <w:t xml:space="preserve">has a </w:t>
      </w:r>
      <w:r w:rsidRPr="00467DAA">
        <w:t xml:space="preserve">target of €250 million in country contributions, which the EIF would then at least </w:t>
      </w:r>
      <w:r w:rsidR="00D90B1B">
        <w:t>match</w:t>
      </w:r>
      <w:r w:rsidRPr="00467DAA">
        <w:t xml:space="preserve"> through its co-investments.</w:t>
      </w:r>
      <w:r w:rsidR="00F55A76">
        <w:t xml:space="preserve"> </w:t>
      </w:r>
    </w:p>
    <w:p w14:paraId="22DC99D6" w14:textId="0B9D5F13" w:rsidR="004B07E9" w:rsidRPr="00467DAA" w:rsidRDefault="00324D36" w:rsidP="00064CCC">
      <w:pPr>
        <w:pStyle w:val="EIB"/>
      </w:pPr>
      <w:r>
        <w:t xml:space="preserve">The Three Seas Initiative Infrastructure Fund of Funds </w:t>
      </w:r>
      <w:r w:rsidR="004B07E9" w:rsidRPr="00467DAA">
        <w:t xml:space="preserve">will back around six infrastructure funds, mixing generalist and specialist strategies, taking </w:t>
      </w:r>
      <w:r w:rsidR="000D6233" w:rsidRPr="000D6233">
        <w:t>anchoring</w:t>
      </w:r>
      <w:r w:rsidR="004B07E9" w:rsidRPr="00467DAA">
        <w:t xml:space="preserve"> stakes alongside other investors. The </w:t>
      </w:r>
      <w:r w:rsidR="003D05C1">
        <w:t>aim</w:t>
      </w:r>
      <w:r w:rsidR="004B07E9" w:rsidRPr="00467DAA">
        <w:t xml:space="preserve"> is </w:t>
      </w:r>
      <w:r w:rsidR="003D05C1">
        <w:t>both</w:t>
      </w:r>
      <w:r w:rsidR="000D6233">
        <w:t xml:space="preserve"> </w:t>
      </w:r>
      <w:r w:rsidR="004B07E9" w:rsidRPr="00467DAA">
        <w:t xml:space="preserve">to finance </w:t>
      </w:r>
      <w:r w:rsidR="003D05C1">
        <w:t xml:space="preserve">current </w:t>
      </w:r>
      <w:r w:rsidR="004B07E9" w:rsidRPr="00467DAA">
        <w:t xml:space="preserve">projects </w:t>
      </w:r>
      <w:r w:rsidR="003D05C1">
        <w:t xml:space="preserve">and </w:t>
      </w:r>
      <w:r w:rsidR="004B07E9" w:rsidRPr="00467DAA">
        <w:t>to help a lasting infrastructure fund market take root in the region</w:t>
      </w:r>
      <w:r w:rsidR="00E51412">
        <w:t xml:space="preserve">, with </w:t>
      </w:r>
      <w:r w:rsidR="004B07E9" w:rsidRPr="00467DAA">
        <w:t>more private and institutional capital drawn in alongside public money.</w:t>
      </w:r>
      <w:r w:rsidR="004B07E9" w:rsidRPr="00467DAA" w:rsidDel="004B07E9">
        <w:t xml:space="preserve"> </w:t>
      </w:r>
    </w:p>
    <w:p w14:paraId="5D5A2072" w14:textId="2AC60422" w:rsidR="00384D37" w:rsidRDefault="00384D37" w:rsidP="00064CCC">
      <w:pPr>
        <w:pStyle w:val="EIB"/>
      </w:pPr>
      <w:r w:rsidRPr="00384D37">
        <w:rPr>
          <w:b/>
          <w:bCs/>
        </w:rPr>
        <w:t>President of the Management Board of SID Banka</w:t>
      </w:r>
      <w:r w:rsidR="000929C3">
        <w:rPr>
          <w:b/>
          <w:bCs/>
        </w:rPr>
        <w:t>,</w:t>
      </w:r>
      <w:r w:rsidR="000929C3" w:rsidRPr="000929C3">
        <w:t xml:space="preserve"> </w:t>
      </w:r>
      <w:r w:rsidR="000929C3" w:rsidRPr="000929C3">
        <w:rPr>
          <w:b/>
          <w:bCs/>
        </w:rPr>
        <w:t>Borut Jamnik</w:t>
      </w:r>
      <w:r>
        <w:t xml:space="preserve">: </w:t>
      </w:r>
      <w:r w:rsidRPr="00384D37">
        <w:t>As part of the SID Banka Group, SID Kapital is proud to join this regional initiative as an anchor investor. We believe the Fund of Funds model is an effective way to strengthen the infrastructure investment ecosystem across the Three Seas region by supporting experienced and emerging fund managers and attracting additional private capital. Together with our partners and the EIF, we are creating a platform that can unlock long-term investment in projects that enhance connectivity, resilience and sustainable growth across the region.”</w:t>
      </w:r>
      <w:r w:rsidRPr="00384D37" w:rsidDel="00384D37">
        <w:rPr>
          <w:highlight w:val="yellow"/>
        </w:rPr>
        <w:t xml:space="preserve"> </w:t>
      </w:r>
    </w:p>
    <w:p w14:paraId="4FB4EE79" w14:textId="1D6240BC" w:rsidR="00E51412" w:rsidRDefault="00E51412" w:rsidP="00064CCC">
      <w:pPr>
        <w:pStyle w:val="EIB"/>
        <w:rPr>
          <w:highlight w:val="yellow"/>
        </w:rPr>
      </w:pPr>
      <w:r>
        <w:t xml:space="preserve">The participating Polish organisation is </w:t>
      </w:r>
      <w:r w:rsidR="00545952" w:rsidRPr="00467DAA">
        <w:rPr>
          <w:bCs/>
          <w:szCs w:val="20"/>
        </w:rPr>
        <w:t xml:space="preserve">Bank </w:t>
      </w:r>
      <w:proofErr w:type="spellStart"/>
      <w:r w:rsidR="00545952" w:rsidRPr="00467DAA">
        <w:rPr>
          <w:bCs/>
          <w:szCs w:val="20"/>
        </w:rPr>
        <w:t>Gospodarstwa</w:t>
      </w:r>
      <w:proofErr w:type="spellEnd"/>
      <w:r w:rsidR="00545952" w:rsidRPr="00467DAA">
        <w:rPr>
          <w:bCs/>
          <w:szCs w:val="20"/>
        </w:rPr>
        <w:t xml:space="preserve"> </w:t>
      </w:r>
      <w:proofErr w:type="spellStart"/>
      <w:r w:rsidR="00545952" w:rsidRPr="00467DAA">
        <w:rPr>
          <w:bCs/>
          <w:szCs w:val="20"/>
        </w:rPr>
        <w:t>Krajowego</w:t>
      </w:r>
      <w:proofErr w:type="spellEnd"/>
      <w:r w:rsidR="00545952" w:rsidRPr="00467DAA">
        <w:rPr>
          <w:bCs/>
          <w:szCs w:val="20"/>
        </w:rPr>
        <w:t xml:space="preserve"> </w:t>
      </w:r>
      <w:r w:rsidR="00545952">
        <w:t>(</w:t>
      </w:r>
      <w:r w:rsidR="00744727">
        <w:t>BGK</w:t>
      </w:r>
      <w:r w:rsidR="00545952">
        <w:t>)</w:t>
      </w:r>
      <w:r w:rsidR="00744727">
        <w:t>.</w:t>
      </w:r>
    </w:p>
    <w:p w14:paraId="397C8CBA" w14:textId="3256B3F6" w:rsidR="00D47449" w:rsidRDefault="00384D37" w:rsidP="00064CCC">
      <w:pPr>
        <w:pStyle w:val="EIB"/>
        <w:rPr>
          <w:highlight w:val="yellow"/>
        </w:rPr>
      </w:pPr>
      <w:r w:rsidRPr="00384D37">
        <w:t>“The establishment of the Three Seas Initiative Infrastructure Fund of Funds marks the next stage in developing effective mechanisms for financing infrastructure in our region, leveraging the potential of European institutions, including the European Investment Fund. As a result, the countries of Central and Eastern Europe, including Poland, gain an additional instrument to support the delivery of strategic investments. BGK’s commitment to this project reflects our strong conviction that it has significant potential to help reduce the region’s investment gap, which is estimated at up to €1 trillion</w:t>
      </w:r>
      <w:r w:rsidR="008C0CA5">
        <w:t xml:space="preserve">,” </w:t>
      </w:r>
      <w:r w:rsidR="008C0CA5" w:rsidRPr="008C0CA5">
        <w:t xml:space="preserve">said </w:t>
      </w:r>
      <w:r w:rsidR="008C0CA5" w:rsidRPr="008C0CA5">
        <w:rPr>
          <w:b/>
          <w:bCs/>
        </w:rPr>
        <w:t xml:space="preserve">President of Bank </w:t>
      </w:r>
      <w:proofErr w:type="spellStart"/>
      <w:r w:rsidR="008C0CA5" w:rsidRPr="008C0CA5">
        <w:rPr>
          <w:b/>
          <w:bCs/>
        </w:rPr>
        <w:t>Gospodarstwa</w:t>
      </w:r>
      <w:proofErr w:type="spellEnd"/>
      <w:r w:rsidR="008C0CA5" w:rsidRPr="008C0CA5">
        <w:rPr>
          <w:b/>
          <w:bCs/>
        </w:rPr>
        <w:t xml:space="preserve"> </w:t>
      </w:r>
      <w:proofErr w:type="spellStart"/>
      <w:r w:rsidR="008C0CA5" w:rsidRPr="008C0CA5">
        <w:rPr>
          <w:b/>
          <w:bCs/>
        </w:rPr>
        <w:t>Krajowego</w:t>
      </w:r>
      <w:proofErr w:type="spellEnd"/>
      <w:r w:rsidR="008C0CA5" w:rsidRPr="008C0CA5">
        <w:rPr>
          <w:b/>
          <w:bCs/>
        </w:rPr>
        <w:t xml:space="preserve"> (BGK) Mirosław Czekaj</w:t>
      </w:r>
      <w:r w:rsidR="008C0CA5">
        <w:t>.</w:t>
      </w:r>
      <w:r w:rsidR="000929C3">
        <w:t xml:space="preserve"> ‘’</w:t>
      </w:r>
      <w:r w:rsidR="008C0CA5" w:rsidRPr="008C0CA5">
        <w:t>It also confirms the very strong cooperation between BGK and European development institutions in strengthening the competitiveness and resilience of the economies of our regio</w:t>
      </w:r>
      <w:r w:rsidR="008C0CA5">
        <w:t>n.</w:t>
      </w:r>
      <w:r w:rsidR="000929C3">
        <w:t>’’</w:t>
      </w:r>
    </w:p>
    <w:p w14:paraId="6A8744F6" w14:textId="5DBBA76F" w:rsidR="00744727" w:rsidRPr="00467DAA" w:rsidRDefault="00744727" w:rsidP="00064CCC">
      <w:pPr>
        <w:pStyle w:val="EIB"/>
        <w:rPr>
          <w:highlight w:val="yellow"/>
        </w:rPr>
      </w:pPr>
      <w:r>
        <w:t xml:space="preserve">The participating Romanian entity is </w:t>
      </w:r>
      <w:r w:rsidR="00545952">
        <w:t xml:space="preserve">the country’s </w:t>
      </w:r>
      <w:r w:rsidR="00545952" w:rsidRPr="00467DAA">
        <w:rPr>
          <w:bCs/>
          <w:szCs w:val="20"/>
        </w:rPr>
        <w:t>Investment and Development Bank</w:t>
      </w:r>
      <w:r w:rsidR="00545952">
        <w:rPr>
          <w:bCs/>
          <w:szCs w:val="20"/>
        </w:rPr>
        <w:t xml:space="preserve">, or </w:t>
      </w:r>
      <w:r>
        <w:t>BID.</w:t>
      </w:r>
    </w:p>
    <w:p w14:paraId="0BE8F442" w14:textId="546E4992" w:rsidR="000929C3" w:rsidRDefault="000929C3" w:rsidP="00064CCC">
      <w:pPr>
        <w:pStyle w:val="EIB"/>
      </w:pPr>
      <w:r w:rsidRPr="000929C3">
        <w:t>“For BID, signing the mandate agreement turns the participation announced in April into a firm investment commitment. The fund-of-funds structure gives us access to a diversified mix of investment strategies and fund managers, while the EIF’s co-investment increases the amount of capital available from day one. More broadly, we are helping develop a regional infrastructure investment ecosystem that can mobilise long-term capital and support bankable projects in Romania and across the region</w:t>
      </w:r>
      <w:r w:rsidR="00832E0F">
        <w:t>.</w:t>
      </w:r>
      <w:r w:rsidRPr="000929C3">
        <w:t>”</w:t>
      </w:r>
      <w:r w:rsidR="00832E0F">
        <w:t>,</w:t>
      </w:r>
      <w:r w:rsidRPr="000929C3">
        <w:t xml:space="preserve"> said </w:t>
      </w:r>
      <w:r w:rsidRPr="000929C3">
        <w:rPr>
          <w:b/>
          <w:bCs/>
        </w:rPr>
        <w:t>Chief Executive Officer of the Investment and Development Bank of Romania, Raluca Nicolescu.</w:t>
      </w:r>
    </w:p>
    <w:p w14:paraId="4939F108" w14:textId="20F007F0" w:rsidR="00744727" w:rsidRPr="00BE5022" w:rsidRDefault="00744727" w:rsidP="00064CCC">
      <w:pPr>
        <w:pStyle w:val="EIB"/>
      </w:pPr>
      <w:r w:rsidRPr="00BE5022">
        <w:t>The participating Lithuanian institution</w:t>
      </w:r>
      <w:r w:rsidR="00FE704C" w:rsidRPr="00BE5022">
        <w:t xml:space="preserve"> is</w:t>
      </w:r>
      <w:r w:rsidRPr="00BE5022">
        <w:t xml:space="preserve"> </w:t>
      </w:r>
      <w:r w:rsidR="00FE704C" w:rsidRPr="00BE5022">
        <w:t xml:space="preserve">national development bank </w:t>
      </w:r>
      <w:r w:rsidRPr="00BE5022">
        <w:t>ILTE.</w:t>
      </w:r>
    </w:p>
    <w:p w14:paraId="62934F9F" w14:textId="56CB2DA6" w:rsidR="00F60D64" w:rsidRPr="00BE5022" w:rsidRDefault="00BC697F" w:rsidP="00064CCC">
      <w:pPr>
        <w:pStyle w:val="EIB"/>
      </w:pPr>
      <w:r w:rsidRPr="00BE5022">
        <w:t xml:space="preserve">“Raising international institutional capital is becoming increasingly important to ensure the financing of long-term infrastructure projects. Participation in this 3JI </w:t>
      </w:r>
      <w:proofErr w:type="spellStart"/>
      <w:r w:rsidRPr="00BE5022">
        <w:t>FoF</w:t>
      </w:r>
      <w:proofErr w:type="spellEnd"/>
      <w:r w:rsidRPr="00BE5022">
        <w:t xml:space="preserve"> not only contributes to the development of the region but also </w:t>
      </w:r>
      <w:proofErr w:type="gramStart"/>
      <w:r w:rsidRPr="00BE5022">
        <w:t>opens up</w:t>
      </w:r>
      <w:proofErr w:type="gramEnd"/>
      <w:r w:rsidRPr="00BE5022">
        <w:t xml:space="preserve"> additional sources of financing for projects in Lithuania,” says</w:t>
      </w:r>
      <w:r w:rsidRPr="00BE5022">
        <w:rPr>
          <w:b/>
          <w:bCs/>
        </w:rPr>
        <w:t xml:space="preserve"> Member of the ILTE Board and Head of the Business Development Department, Tadas Gudaitis.</w:t>
      </w:r>
      <w:r w:rsidRPr="00BE5022">
        <w:t xml:space="preserve"> “At the same time, it creates an opportunity for fund managers in Lithuania and the region to present their investment strategies to the EIF and attract funding to the funds they manage and to companies in Lithuania and the region.”</w:t>
      </w:r>
    </w:p>
    <w:p w14:paraId="7C8DAD6D" w14:textId="518090A2" w:rsidR="00832E0F" w:rsidRDefault="00832E0F" w:rsidP="00064CCC">
      <w:pPr>
        <w:pStyle w:val="EIB"/>
      </w:pPr>
      <w:r w:rsidRPr="00832E0F">
        <w:t xml:space="preserve">The participating Bulgarian entity is JEREMIE Bulgaria EAD, a holding fund </w:t>
      </w:r>
      <w:r w:rsidR="00E137B8">
        <w:t>fully</w:t>
      </w:r>
      <w:r w:rsidRPr="00832E0F">
        <w:t xml:space="preserve"> owned and managed by the European Investment Fund (EIF), on behalf of the Government of Bulgaria</w:t>
      </w:r>
      <w:r>
        <w:t>,</w:t>
      </w:r>
      <w:r w:rsidRPr="00832E0F">
        <w:t xml:space="preserve"> as overseen by the Ministry of Innovation and Digital Transformation. </w:t>
      </w:r>
    </w:p>
    <w:p w14:paraId="65E6A47D" w14:textId="4D8539A8" w:rsidR="00832E0F" w:rsidRDefault="00832E0F" w:rsidP="00064CCC">
      <w:pPr>
        <w:pStyle w:val="EIB"/>
        <w:rPr>
          <w:b/>
          <w:bCs/>
        </w:rPr>
      </w:pPr>
      <w:r w:rsidRPr="00832E0F">
        <w:t>“Bulgaria’s participation in the Three Seas Initiative Infrastructure Fund of Funds, with a commitment of €25 million through JEREMIE Bulgaria, is an investment in projects that can make a real difference to our connectivity with the region and Europe. With the support and expertise of the European Investment Fund, the Fund can help bring public and private capital together and support strategic investments in energy, transport, digital and social infrastructure. This is where regional cooperation can deliver tangible value for businesses, communities and the economies of the Three Seas region.”</w:t>
      </w:r>
      <w:r>
        <w:t>,</w:t>
      </w:r>
      <w:r w:rsidRPr="00832E0F">
        <w:t xml:space="preserve"> </w:t>
      </w:r>
      <w:r w:rsidRPr="00832E0F">
        <w:rPr>
          <w:b/>
          <w:bCs/>
        </w:rPr>
        <w:t>said Deputy Minister, Ministry of Innovation and Digital Transformation</w:t>
      </w:r>
      <w:r>
        <w:rPr>
          <w:b/>
          <w:bCs/>
        </w:rPr>
        <w:t>,</w:t>
      </w:r>
      <w:r w:rsidRPr="00832E0F">
        <w:rPr>
          <w:b/>
          <w:bCs/>
        </w:rPr>
        <w:t xml:space="preserve"> Mira Yossifova.</w:t>
      </w:r>
    </w:p>
    <w:p w14:paraId="55CFA380" w14:textId="77777777" w:rsidR="00E137B8" w:rsidRDefault="00E137B8" w:rsidP="00064CCC">
      <w:pPr>
        <w:pStyle w:val="EIB"/>
      </w:pPr>
    </w:p>
    <w:p w14:paraId="1ED1BCDE" w14:textId="32BBB39F" w:rsidR="007A3C25" w:rsidRPr="00BC697F" w:rsidRDefault="00545952" w:rsidP="00064CCC">
      <w:pPr>
        <w:pStyle w:val="EIB"/>
      </w:pPr>
      <w:r w:rsidRPr="00BC697F">
        <w:lastRenderedPageBreak/>
        <w:t>In Croatia, t</w:t>
      </w:r>
      <w:r w:rsidR="007A3C25" w:rsidRPr="00BC697F">
        <w:t xml:space="preserve">he participating </w:t>
      </w:r>
      <w:r w:rsidR="007F018D" w:rsidRPr="00BC697F">
        <w:t>entity</w:t>
      </w:r>
      <w:r w:rsidR="007A3C25" w:rsidRPr="00BC697F">
        <w:t xml:space="preserve"> is </w:t>
      </w:r>
      <w:r w:rsidRPr="00BC697F">
        <w:t xml:space="preserve">the </w:t>
      </w:r>
      <w:r w:rsidRPr="00BC697F">
        <w:rPr>
          <w:bCs/>
          <w:szCs w:val="20"/>
        </w:rPr>
        <w:t>Croatian Bank for Reconstruction and Development, or H</w:t>
      </w:r>
      <w:r w:rsidR="00532CD4" w:rsidRPr="00BC697F">
        <w:t>BOR.</w:t>
      </w:r>
    </w:p>
    <w:p w14:paraId="61700782" w14:textId="6903891E" w:rsidR="00BE5022" w:rsidRDefault="00BE5022" w:rsidP="00064CCC">
      <w:pPr>
        <w:pStyle w:val="EIB"/>
      </w:pPr>
      <w:r>
        <w:t>‘’</w:t>
      </w:r>
      <w:r w:rsidRPr="00BE5022">
        <w:t>EIF remains a key partner in HBOR's equity investment efforts. With this latest financial instrument, we expect to mobilise substantial infrastructure capital for Croatia and the broader region</w:t>
      </w:r>
      <w:r w:rsidR="00405B1F" w:rsidRPr="00405B1F">
        <w:t xml:space="preserve">,” said </w:t>
      </w:r>
      <w:r w:rsidR="00405B1F" w:rsidRPr="00405B1F">
        <w:rPr>
          <w:b/>
          <w:bCs/>
        </w:rPr>
        <w:t>Member of HBOR Management Board Alan Herjavec</w:t>
      </w:r>
      <w:r w:rsidR="00405B1F">
        <w:rPr>
          <w:b/>
          <w:bCs/>
        </w:rPr>
        <w:t>.</w:t>
      </w:r>
      <w:r w:rsidR="00405B1F">
        <w:t xml:space="preserve"> ‘’</w:t>
      </w:r>
      <w:r w:rsidRPr="00BE5022">
        <w:t>We also view EIF’s strong engagement in Croatia and other regions of the European Union, in need of such investments, as crucial for mobilising private capital, and reducing development gaps across the EU market.</w:t>
      </w:r>
      <w:r w:rsidR="00405B1F">
        <w:t>’’</w:t>
      </w:r>
    </w:p>
    <w:p w14:paraId="4186154F" w14:textId="5E2F8E39" w:rsidR="004B07E9" w:rsidRPr="00467DAA" w:rsidRDefault="000F6869" w:rsidP="00064CCC">
      <w:pPr>
        <w:pStyle w:val="EIB"/>
      </w:pPr>
      <w:r w:rsidRPr="00467DAA">
        <w:t xml:space="preserve">The </w:t>
      </w:r>
      <w:r w:rsidR="00657A60">
        <w:t>new operation</w:t>
      </w:r>
      <w:r w:rsidRPr="00467DAA">
        <w:t xml:space="preserve"> builds on </w:t>
      </w:r>
      <w:r w:rsidR="00532CD4">
        <w:t>a “</w:t>
      </w:r>
      <w:r w:rsidRPr="00467DAA">
        <w:t>Three Seas Initiative Investment Fund</w:t>
      </w:r>
      <w:r w:rsidR="00532CD4">
        <w:t>”</w:t>
      </w:r>
      <w:r w:rsidRPr="00467DAA">
        <w:t xml:space="preserve"> launched in 2019</w:t>
      </w:r>
      <w:r w:rsidR="000A613F">
        <w:t xml:space="preserve"> and </w:t>
      </w:r>
      <w:r w:rsidR="00132B28">
        <w:t xml:space="preserve">will </w:t>
      </w:r>
      <w:r w:rsidR="000A613F">
        <w:t>employ</w:t>
      </w:r>
      <w:r w:rsidRPr="00467DAA">
        <w:t xml:space="preserve"> the fund-of-funds model already applied under </w:t>
      </w:r>
      <w:r w:rsidR="00532CD4">
        <w:t>a</w:t>
      </w:r>
      <w:r w:rsidRPr="00467DAA">
        <w:t xml:space="preserve"> </w:t>
      </w:r>
      <w:r w:rsidR="008D772F">
        <w:t xml:space="preserve">2024 </w:t>
      </w:r>
      <w:r w:rsidR="00532CD4">
        <w:t>“</w:t>
      </w:r>
      <w:r w:rsidRPr="00467DAA">
        <w:t>Three Seas Initiative Innovation Fund</w:t>
      </w:r>
      <w:r w:rsidR="00532CD4">
        <w:t>”</w:t>
      </w:r>
      <w:r w:rsidRPr="00467DAA">
        <w:t xml:space="preserve"> focused on growth and expansion capital. </w:t>
      </w:r>
    </w:p>
    <w:p w14:paraId="6ABCDDC4" w14:textId="4A3A9FD1" w:rsidR="00064CCC" w:rsidRPr="00467DAA" w:rsidRDefault="000F6869" w:rsidP="00D47929">
      <w:pPr>
        <w:pStyle w:val="EIBBackgroundContacts"/>
        <w:spacing w:before="100" w:beforeAutospacing="1" w:after="100" w:afterAutospacing="1"/>
        <w:rPr>
          <w:b w:val="0"/>
          <w:bCs/>
          <w:sz w:val="20"/>
          <w:szCs w:val="20"/>
        </w:rPr>
      </w:pPr>
      <w:r w:rsidRPr="00467DAA">
        <w:rPr>
          <w:b w:val="0"/>
          <w:bCs/>
          <w:sz w:val="20"/>
          <w:szCs w:val="20"/>
        </w:rPr>
        <w:t xml:space="preserve">Initial commitments: Bank </w:t>
      </w:r>
      <w:proofErr w:type="spellStart"/>
      <w:r w:rsidRPr="00467DAA">
        <w:rPr>
          <w:b w:val="0"/>
          <w:bCs/>
          <w:sz w:val="20"/>
          <w:szCs w:val="20"/>
        </w:rPr>
        <w:t>Gospodarstwa</w:t>
      </w:r>
      <w:proofErr w:type="spellEnd"/>
      <w:r w:rsidRPr="00467DAA">
        <w:rPr>
          <w:b w:val="0"/>
          <w:bCs/>
          <w:sz w:val="20"/>
          <w:szCs w:val="20"/>
        </w:rPr>
        <w:t xml:space="preserve"> </w:t>
      </w:r>
      <w:proofErr w:type="spellStart"/>
      <w:r w:rsidRPr="00467DAA">
        <w:rPr>
          <w:b w:val="0"/>
          <w:bCs/>
          <w:sz w:val="20"/>
          <w:szCs w:val="20"/>
        </w:rPr>
        <w:t>Krajowego</w:t>
      </w:r>
      <w:proofErr w:type="spellEnd"/>
      <w:r w:rsidRPr="00467DAA">
        <w:rPr>
          <w:b w:val="0"/>
          <w:bCs/>
          <w:sz w:val="20"/>
          <w:szCs w:val="20"/>
        </w:rPr>
        <w:t xml:space="preserve"> (BGK), Poland </w:t>
      </w:r>
      <w:r w:rsidR="00A03E9B">
        <w:rPr>
          <w:b w:val="0"/>
          <w:bCs/>
          <w:sz w:val="20"/>
          <w:szCs w:val="20"/>
        </w:rPr>
        <w:t>-</w:t>
      </w:r>
      <w:r w:rsidRPr="00467DAA">
        <w:rPr>
          <w:b w:val="0"/>
          <w:bCs/>
          <w:sz w:val="20"/>
          <w:szCs w:val="20"/>
        </w:rPr>
        <w:t xml:space="preserve"> €50 million; Investment and Development Bank (BID), Romania </w:t>
      </w:r>
      <w:r w:rsidR="00A03E9B">
        <w:rPr>
          <w:b w:val="0"/>
          <w:bCs/>
          <w:sz w:val="20"/>
          <w:szCs w:val="20"/>
        </w:rPr>
        <w:t>-</w:t>
      </w:r>
      <w:r w:rsidRPr="00467DAA">
        <w:rPr>
          <w:b w:val="0"/>
          <w:bCs/>
          <w:sz w:val="20"/>
          <w:szCs w:val="20"/>
        </w:rPr>
        <w:t xml:space="preserve"> €50 million; ILTE, Lithuania </w:t>
      </w:r>
      <w:r w:rsidR="00A03E9B">
        <w:rPr>
          <w:b w:val="0"/>
          <w:bCs/>
          <w:sz w:val="20"/>
          <w:szCs w:val="20"/>
        </w:rPr>
        <w:t>-</w:t>
      </w:r>
      <w:r w:rsidRPr="00467DAA">
        <w:rPr>
          <w:b w:val="0"/>
          <w:bCs/>
          <w:sz w:val="20"/>
          <w:szCs w:val="20"/>
        </w:rPr>
        <w:t xml:space="preserve"> €25 million; JEREMIE Bulgaria, overseen by the Ministry of Innovation and Digital Transformation </w:t>
      </w:r>
      <w:r w:rsidR="00A03E9B">
        <w:rPr>
          <w:b w:val="0"/>
          <w:bCs/>
          <w:sz w:val="20"/>
          <w:szCs w:val="20"/>
        </w:rPr>
        <w:t>-</w:t>
      </w:r>
      <w:r w:rsidRPr="00467DAA">
        <w:rPr>
          <w:b w:val="0"/>
          <w:bCs/>
          <w:sz w:val="20"/>
          <w:szCs w:val="20"/>
        </w:rPr>
        <w:t xml:space="preserve"> €25 million; Croatian Bank for Reconstruction and Development (HBOR) </w:t>
      </w:r>
      <w:r w:rsidR="00A03E9B">
        <w:rPr>
          <w:b w:val="0"/>
          <w:bCs/>
          <w:sz w:val="20"/>
          <w:szCs w:val="20"/>
        </w:rPr>
        <w:t>-</w:t>
      </w:r>
      <w:r w:rsidRPr="00467DAA">
        <w:rPr>
          <w:b w:val="0"/>
          <w:bCs/>
          <w:sz w:val="20"/>
          <w:szCs w:val="20"/>
        </w:rPr>
        <w:t xml:space="preserve"> €20 million; SID Kapital, subsidiary of SID Banka, Slovenia </w:t>
      </w:r>
      <w:r w:rsidR="00A03E9B">
        <w:rPr>
          <w:b w:val="0"/>
          <w:bCs/>
          <w:sz w:val="20"/>
          <w:szCs w:val="20"/>
        </w:rPr>
        <w:t>-</w:t>
      </w:r>
      <w:r w:rsidRPr="00467DAA">
        <w:rPr>
          <w:b w:val="0"/>
          <w:bCs/>
          <w:sz w:val="20"/>
          <w:szCs w:val="20"/>
        </w:rPr>
        <w:t xml:space="preserve"> €10 million.</w:t>
      </w:r>
    </w:p>
    <w:p w14:paraId="4E109DD7" w14:textId="7B14DF06" w:rsidR="004A6E94" w:rsidRPr="00243E0E" w:rsidRDefault="004A6E94" w:rsidP="00D47929">
      <w:pPr>
        <w:pStyle w:val="EIBBackgroundContacts"/>
        <w:spacing w:before="100" w:beforeAutospacing="1" w:after="100" w:afterAutospacing="1"/>
        <w:rPr>
          <w:bCs/>
          <w:color w:val="000000" w:themeColor="text1"/>
        </w:rPr>
      </w:pPr>
      <w:r w:rsidRPr="00243E0E">
        <w:rPr>
          <w:bCs/>
          <w:color w:val="000000" w:themeColor="text1"/>
        </w:rPr>
        <w:t>Background information</w:t>
      </w:r>
    </w:p>
    <w:p w14:paraId="5796BB8C" w14:textId="77777777" w:rsidR="00C73218" w:rsidRPr="00467DAA" w:rsidRDefault="00C73218" w:rsidP="00064CCC">
      <w:pPr>
        <w:pStyle w:val="EIB"/>
      </w:pPr>
      <w:r w:rsidRPr="000929C3">
        <w:rPr>
          <w:b/>
          <w:bCs/>
        </w:rPr>
        <w:t>The European Investment Fund (EIF)</w:t>
      </w:r>
      <w:r w:rsidRPr="00384D37">
        <w:t xml:space="preserve"> is part of the European Investment Bank Group (EIB) Group. Its central mission is to support Europe’s small and medium-sized enterprises (SMEs) by helping them access finance. The EIF designs and develops venture and growth capital, guarantees and microfinance instruments that specifically target this market segment. In this role, it contributes to the achievement of key EU policy goals such as competitiveness and growth, innovation and digitalisation, social impact, skills and human capital, climate action and environmental sustainability.</w:t>
      </w:r>
    </w:p>
    <w:p w14:paraId="1C1E9873" w14:textId="7C39C00E" w:rsidR="00384D37" w:rsidRDefault="00384D37" w:rsidP="00064CCC">
      <w:pPr>
        <w:pStyle w:val="EIB"/>
      </w:pPr>
      <w:r w:rsidRPr="000929C3">
        <w:rPr>
          <w:b/>
          <w:bCs/>
        </w:rPr>
        <w:t>SID Banka Group</w:t>
      </w:r>
      <w:r>
        <w:t xml:space="preserve"> is Slovenia’s national promotional and export finance group, dedicated to supporting the sustainable growth, competitiveness, and internationalisation of the Slovenian economy. The Group combines banking, insurance, equity financing, and investment management services through SID Banka, SID Kapital and SID Asset Management, helping address financing gaps and support strategic development priorities. SID Asset Management also plays an active role in the Three Seas Initiative, supporting efforts to mobilise long-term capital for strategic infrastructure and economic development projects across Central and Eastern Europe. Through its participation in the Three Seas Initiative Investment Fund and related initiatives, the Group contributes to strengthening regional connectivity, energy security, digitalisation and sustainable economic growth.</w:t>
      </w:r>
    </w:p>
    <w:p w14:paraId="71409C6B" w14:textId="77777777" w:rsidR="002442CC" w:rsidRDefault="002442CC" w:rsidP="00064CCC">
      <w:pPr>
        <w:pStyle w:val="EIB"/>
      </w:pPr>
      <w:r w:rsidRPr="00243E0E">
        <w:rPr>
          <w:b/>
          <w:bCs/>
          <w:lang w:val="pl-PL"/>
        </w:rPr>
        <w:t>Bank Gospodarstwa Krajowego (BGK)</w:t>
      </w:r>
      <w:r w:rsidRPr="00243E0E">
        <w:rPr>
          <w:lang w:val="pl-PL"/>
        </w:rPr>
        <w:t xml:space="preserve"> is Poland’s development bank. </w:t>
      </w:r>
      <w:r w:rsidRPr="002442CC">
        <w:t>It is the initiator and cornerstone investor of the Three Seas Initiative Investment Fund (3SIIF). During its investment period, the Fund secured capital commitments of EUR 1.1 billion, while the value of additional capital mobilised through its activities is estimated at EUR 7.6 billion (according to the 3SIIF Impact Report, April 2026). BGK is also a capital contributor to the Marguerite Funds, pan-European investment vehicles that finance infrastructure projects in the fields of energy, sustainable transport, digitalisation, and the circular economy. In addition, over the past two years, BGK has made commitments to both domestic and international investment funds focused on renewable energy, digital infrastructure, cloud technologies, and data-related solutions, including funds managed by CVI, Eiffel, Future Energy Ventures, PIMCO, SWEN i Cogito.</w:t>
      </w:r>
    </w:p>
    <w:p w14:paraId="272CC978" w14:textId="662D41C2" w:rsidR="000929C3" w:rsidRDefault="000929C3" w:rsidP="00064CCC">
      <w:pPr>
        <w:pStyle w:val="EIB"/>
      </w:pPr>
      <w:r w:rsidRPr="002442CC">
        <w:rPr>
          <w:b/>
          <w:bCs/>
        </w:rPr>
        <w:t>The Investment and Development Bank</w:t>
      </w:r>
      <w:r w:rsidRPr="000929C3">
        <w:t xml:space="preserve"> is the only national development bank, fully owned by the Romanian state, through the Ministry of Finance. Created at the end of 2023 as a measure in the National Recovery and Resilience Plan, IDB supports economic and social development, competitiveness, innovation, sustainable economic growth, and the transition to climate neutrality, stepping in where the financial market doesn't sufficiently meet funding needs.</w:t>
      </w:r>
    </w:p>
    <w:p w14:paraId="3A585D37" w14:textId="6D7F561B" w:rsidR="00FE704C" w:rsidRDefault="00FE704C" w:rsidP="00064CCC">
      <w:pPr>
        <w:pStyle w:val="EIB"/>
        <w:rPr>
          <w:b/>
          <w:bCs/>
          <w:lang w:val="en-US"/>
        </w:rPr>
      </w:pPr>
      <w:r w:rsidRPr="00BE5022">
        <w:rPr>
          <w:b/>
          <w:bCs/>
          <w:lang w:val="en-US"/>
        </w:rPr>
        <w:t xml:space="preserve">ILTE </w:t>
      </w:r>
      <w:r w:rsidRPr="00BE5022">
        <w:rPr>
          <w:lang w:val="en-US"/>
        </w:rPr>
        <w:t xml:space="preserve">is Lithuania’s national development bank, supporting the state in achieving strategic economic priorities and helping businesses, the public sector, and clients in agriculture and fisheries access financing. Operating directly, through ILTE Group companies, and in cooperation with financial market participants, ILTE aims to promote sustainable economic development, strengthen the resilience and competitiveness of the economy, and </w:t>
      </w:r>
      <w:r w:rsidR="00BE5022" w:rsidRPr="00BE5022">
        <w:rPr>
          <w:lang w:val="en-US"/>
        </w:rPr>
        <w:t>mobilize</w:t>
      </w:r>
      <w:r w:rsidRPr="00BE5022">
        <w:rPr>
          <w:lang w:val="en-US"/>
        </w:rPr>
        <w:t xml:space="preserve"> private capital for domestic businesses. Its activities focus on high-value-added projects, innovation, sustainability, energy efficiency, the transformation of agriculture, and infrastructure development and </w:t>
      </w:r>
      <w:r w:rsidR="00BE5022" w:rsidRPr="00BE5022">
        <w:rPr>
          <w:lang w:val="en-US"/>
        </w:rPr>
        <w:t>modernization</w:t>
      </w:r>
      <w:r w:rsidRPr="00BE5022">
        <w:rPr>
          <w:lang w:val="en-US"/>
        </w:rPr>
        <w:t>.</w:t>
      </w:r>
    </w:p>
    <w:p w14:paraId="42E2A6AB" w14:textId="6210D641" w:rsidR="00832E0F" w:rsidRDefault="00832E0F" w:rsidP="00BE5022">
      <w:pPr>
        <w:spacing w:before="100" w:beforeAutospacing="1" w:after="100" w:afterAutospacing="1" w:line="240" w:lineRule="auto"/>
        <w:jc w:val="both"/>
        <w:rPr>
          <w:rFonts w:eastAsia="Times New Roman" w:cs="Arial"/>
          <w:szCs w:val="21"/>
          <w:lang w:val="en-GB" w:eastAsia="en-GB"/>
        </w:rPr>
      </w:pPr>
      <w:r w:rsidRPr="00832E0F">
        <w:rPr>
          <w:rFonts w:eastAsia="Times New Roman" w:cs="Arial"/>
          <w:b/>
          <w:bCs/>
          <w:szCs w:val="21"/>
          <w:lang w:val="en-GB" w:eastAsia="en-GB"/>
        </w:rPr>
        <w:lastRenderedPageBreak/>
        <w:t>JEREMIE Bulgaria EAD</w:t>
      </w:r>
      <w:r w:rsidRPr="00832E0F">
        <w:rPr>
          <w:rFonts w:eastAsia="Times New Roman" w:cs="Arial"/>
          <w:szCs w:val="21"/>
          <w:lang w:val="en-GB" w:eastAsia="en-GB"/>
        </w:rPr>
        <w:t xml:space="preserve"> </w:t>
      </w:r>
      <w:r>
        <w:rPr>
          <w:rFonts w:eastAsia="Times New Roman" w:cs="Arial"/>
          <w:szCs w:val="21"/>
          <w:lang w:val="en-GB" w:eastAsia="en-GB"/>
        </w:rPr>
        <w:t xml:space="preserve">is </w:t>
      </w:r>
      <w:r w:rsidRPr="00832E0F">
        <w:rPr>
          <w:rFonts w:eastAsia="Times New Roman" w:cs="Arial"/>
          <w:szCs w:val="21"/>
          <w:lang w:val="en-GB" w:eastAsia="en-GB"/>
        </w:rPr>
        <w:t>a holding fund wholly owned and managed by the European Investment Fund (EIF), on behalf of the Government of Bulgaria, as overseen by the Ministry of Innovation and Digital Transformation.</w:t>
      </w:r>
      <w:r>
        <w:rPr>
          <w:rFonts w:eastAsia="Times New Roman" w:cs="Arial"/>
          <w:szCs w:val="21"/>
          <w:lang w:val="en-GB" w:eastAsia="en-GB"/>
        </w:rPr>
        <w:t xml:space="preserve"> </w:t>
      </w:r>
      <w:r w:rsidRPr="00832E0F">
        <w:rPr>
          <w:rFonts w:eastAsia="Times New Roman" w:cs="Arial"/>
          <w:szCs w:val="21"/>
          <w:lang w:val="en-GB" w:eastAsia="en-GB"/>
        </w:rPr>
        <w:t>Over the past 15 years under EIF management, the Bulgarian operations of JEREMIE have supported more than 10,000 SMEs and deployed over €1.6 billion in loans and equity investments, multiplying approximately five times the initial public resources.</w:t>
      </w:r>
    </w:p>
    <w:p w14:paraId="47A9289E" w14:textId="034A103E" w:rsidR="00BE5022" w:rsidRDefault="00BE5022" w:rsidP="00BE5022">
      <w:pPr>
        <w:spacing w:before="100" w:beforeAutospacing="1" w:after="100" w:afterAutospacing="1" w:line="240" w:lineRule="auto"/>
        <w:jc w:val="both"/>
        <w:rPr>
          <w:rFonts w:eastAsia="Times New Roman" w:cs="Arial"/>
          <w:szCs w:val="21"/>
          <w:lang w:val="en-GB" w:eastAsia="en-GB"/>
        </w:rPr>
      </w:pPr>
      <w:r w:rsidRPr="00BE5022">
        <w:rPr>
          <w:rFonts w:eastAsia="Times New Roman" w:cs="Arial"/>
          <w:b/>
          <w:bCs/>
          <w:szCs w:val="21"/>
          <w:lang w:val="en-GB" w:eastAsia="en-GB"/>
        </w:rPr>
        <w:t>The Croatian Bank for Reconstruction and Development (HBOR)</w:t>
      </w:r>
      <w:r w:rsidRPr="00BE5022">
        <w:rPr>
          <w:rFonts w:eastAsia="Times New Roman" w:cs="Arial"/>
          <w:szCs w:val="21"/>
          <w:lang w:val="en-GB" w:eastAsia="en-GB"/>
        </w:rPr>
        <w:t xml:space="preserve"> is the national promotional and development bank of the Republic of Croatia. Through lending, guarantees, export credit insurance and investment programmes, HBOR supports the development of the Croatian economy, with a particular focus on entrepreneurship, innovation, exports, sustainable development and regional cohesion.</w:t>
      </w:r>
      <w:r w:rsidR="00E137B8">
        <w:rPr>
          <w:rFonts w:eastAsia="Times New Roman" w:cs="Arial"/>
          <w:szCs w:val="21"/>
          <w:lang w:val="en-GB" w:eastAsia="en-GB"/>
        </w:rPr>
        <w:t xml:space="preserve"> </w:t>
      </w:r>
      <w:r w:rsidRPr="00BE5022">
        <w:rPr>
          <w:rFonts w:eastAsia="Times New Roman" w:cs="Arial"/>
          <w:szCs w:val="21"/>
          <w:lang w:val="en-GB" w:eastAsia="en-GB"/>
        </w:rPr>
        <w:t>In cooperation with the Government of the Republic of Croatia, the European Union, international financial institutions and commercial banks, HBOR facilitates access to finance for businesses and public sector entities throughout Croatia.</w:t>
      </w:r>
    </w:p>
    <w:p w14:paraId="2C1C8886" w14:textId="59BD2108" w:rsidR="004A6E94" w:rsidRPr="00DE0A63" w:rsidRDefault="004A6E94" w:rsidP="00BE5022">
      <w:pPr>
        <w:spacing w:before="100" w:beforeAutospacing="1" w:after="100" w:afterAutospacing="1" w:line="240" w:lineRule="auto"/>
        <w:jc w:val="both"/>
        <w:rPr>
          <w:rFonts w:cs="Arial"/>
          <w:b/>
          <w:bCs/>
          <w:sz w:val="22"/>
          <w:lang w:val="en-GB"/>
        </w:rPr>
      </w:pPr>
      <w:r w:rsidRPr="00DE0A63">
        <w:rPr>
          <w:rFonts w:cs="Arial"/>
          <w:b/>
          <w:bCs/>
          <w:sz w:val="22"/>
          <w:lang w:val="en-GB"/>
        </w:rPr>
        <w:t>Press contacts</w:t>
      </w:r>
    </w:p>
    <w:p w14:paraId="5DAE3F37" w14:textId="1307B8C1" w:rsidR="004A6E94" w:rsidRPr="00467DAA" w:rsidRDefault="00C73218" w:rsidP="00D47929">
      <w:pPr>
        <w:spacing w:before="100" w:beforeAutospacing="1" w:after="100" w:afterAutospacing="1" w:line="240" w:lineRule="auto"/>
        <w:rPr>
          <w:lang w:val="en-GB"/>
        </w:rPr>
      </w:pPr>
      <w:r w:rsidRPr="002442CC">
        <w:rPr>
          <w:rFonts w:cs="Arial"/>
          <w:lang w:val="en-GB"/>
        </w:rPr>
        <w:t>EIBG</w:t>
      </w:r>
      <w:r w:rsidR="002442CC" w:rsidRPr="002442CC">
        <w:rPr>
          <w:rFonts w:cs="Arial"/>
          <w:lang w:val="en-GB"/>
        </w:rPr>
        <w:t>: Ivo Antunović</w:t>
      </w:r>
      <w:r w:rsidR="002442CC">
        <w:rPr>
          <w:rFonts w:cs="Arial"/>
          <w:lang w:val="en-GB"/>
        </w:rPr>
        <w:t xml:space="preserve">, </w:t>
      </w:r>
      <w:hyperlink r:id="rId20" w:history="1">
        <w:r w:rsidR="00464293" w:rsidRPr="002D1694">
          <w:rPr>
            <w:rStyle w:val="Hyperlink"/>
            <w:rFonts w:cs="Arial"/>
            <w:lang w:val="en-GB"/>
          </w:rPr>
          <w:t>i.antunovic@ext.eib.org</w:t>
        </w:r>
      </w:hyperlink>
      <w:r w:rsidR="002442CC">
        <w:rPr>
          <w:rFonts w:cs="Arial"/>
          <w:lang w:val="en-GB"/>
        </w:rPr>
        <w:t>, +385 98 911 9159</w:t>
      </w:r>
    </w:p>
    <w:p w14:paraId="4CA03616" w14:textId="09B793E6" w:rsidR="00384D37" w:rsidRDefault="00384D37" w:rsidP="00064CCC">
      <w:pPr>
        <w:pStyle w:val="EIB"/>
        <w:rPr>
          <w:highlight w:val="yellow"/>
        </w:rPr>
      </w:pPr>
      <w:r w:rsidRPr="00384D37">
        <w:t xml:space="preserve">SID Banka Group: Petra Ambrožič, </w:t>
      </w:r>
      <w:hyperlink r:id="rId21" w:history="1">
        <w:r w:rsidR="00E94C27" w:rsidRPr="00902C6B">
          <w:rPr>
            <w:rStyle w:val="Hyperlink"/>
          </w:rPr>
          <w:t>petra.ambrozic@sid.si</w:t>
        </w:r>
      </w:hyperlink>
      <w:r w:rsidRPr="00384D37">
        <w:t>, +386 70 689 605</w:t>
      </w:r>
      <w:r w:rsidRPr="00384D37">
        <w:rPr>
          <w:highlight w:val="yellow"/>
        </w:rPr>
        <w:t xml:space="preserve"> </w:t>
      </w:r>
    </w:p>
    <w:p w14:paraId="430C5206" w14:textId="7E7961FC" w:rsidR="00F60D64" w:rsidRPr="00243E0E" w:rsidRDefault="00F60D64" w:rsidP="00064CCC">
      <w:pPr>
        <w:pStyle w:val="EIB"/>
        <w:rPr>
          <w:lang w:val="pl-PL"/>
        </w:rPr>
      </w:pPr>
      <w:r w:rsidRPr="00243E0E">
        <w:rPr>
          <w:lang w:val="pl-PL"/>
        </w:rPr>
        <w:t>BGK</w:t>
      </w:r>
      <w:r w:rsidR="002442CC" w:rsidRPr="00243E0E">
        <w:rPr>
          <w:lang w:val="pl-PL"/>
        </w:rPr>
        <w:t xml:space="preserve">: Alicja Kaczmarek, </w:t>
      </w:r>
      <w:r w:rsidR="00E94C27">
        <w:fldChar w:fldCharType="begin"/>
      </w:r>
      <w:r w:rsidR="00E94C27" w:rsidRPr="00243E0E">
        <w:rPr>
          <w:lang w:val="pl-PL"/>
        </w:rPr>
        <w:instrText>HYPERLINK "mailto:Alicja.Kaczmarek@bgk.pl"</w:instrText>
      </w:r>
      <w:r w:rsidR="00E94C27">
        <w:fldChar w:fldCharType="separate"/>
      </w:r>
      <w:r w:rsidR="00E94C27" w:rsidRPr="00243E0E">
        <w:rPr>
          <w:rStyle w:val="Hyperlink"/>
          <w:lang w:val="pl-PL"/>
        </w:rPr>
        <w:t>Alicja.Kaczmarek@bgk.pl</w:t>
      </w:r>
      <w:r w:rsidR="00E94C27">
        <w:fldChar w:fldCharType="end"/>
      </w:r>
      <w:r w:rsidR="00464293" w:rsidRPr="00243E0E">
        <w:rPr>
          <w:lang w:val="pl-PL"/>
        </w:rPr>
        <w:t>, +48 571 220 525</w:t>
      </w:r>
    </w:p>
    <w:p w14:paraId="57386652" w14:textId="42696239" w:rsidR="00F60D64" w:rsidRPr="000929C3" w:rsidRDefault="00F60D64" w:rsidP="000929C3">
      <w:pPr>
        <w:pStyle w:val="EIB"/>
      </w:pPr>
      <w:r w:rsidRPr="000929C3">
        <w:t>BID</w:t>
      </w:r>
      <w:r w:rsidR="000929C3" w:rsidRPr="000929C3">
        <w:t xml:space="preserve">: Mălina </w:t>
      </w:r>
      <w:proofErr w:type="spellStart"/>
      <w:r w:rsidR="000929C3" w:rsidRPr="000929C3">
        <w:t>Gon</w:t>
      </w:r>
      <w:r w:rsidR="000929C3" w:rsidRPr="000929C3">
        <w:rPr>
          <w:rFonts w:ascii="Calibri" w:hAnsi="Calibri" w:cs="Calibri"/>
        </w:rPr>
        <w:t>ț</w:t>
      </w:r>
      <w:proofErr w:type="spellEnd"/>
      <w:r w:rsidR="000929C3" w:rsidRPr="000929C3">
        <w:t xml:space="preserve">, </w:t>
      </w:r>
      <w:hyperlink r:id="rId22" w:history="1">
        <w:r w:rsidR="00E94C27" w:rsidRPr="00902C6B">
          <w:rPr>
            <w:rStyle w:val="Hyperlink"/>
          </w:rPr>
          <w:t>malina.gont@bidromania.eu</w:t>
        </w:r>
      </w:hyperlink>
      <w:r w:rsidR="00E94C27">
        <w:t>,</w:t>
      </w:r>
      <w:r w:rsidR="000929C3" w:rsidRPr="000929C3">
        <w:t xml:space="preserve"> +40 747 286 764</w:t>
      </w:r>
    </w:p>
    <w:p w14:paraId="65836EC2" w14:textId="1F191524" w:rsidR="00F60D64" w:rsidRPr="00243E0E" w:rsidRDefault="00F60D64" w:rsidP="00064CCC">
      <w:pPr>
        <w:pStyle w:val="EIB"/>
        <w:rPr>
          <w:lang w:val="de-DE"/>
        </w:rPr>
      </w:pPr>
      <w:r w:rsidRPr="00243E0E">
        <w:rPr>
          <w:lang w:val="de-DE"/>
        </w:rPr>
        <w:t>ILTE</w:t>
      </w:r>
      <w:r w:rsidR="00BC697F" w:rsidRPr="00243E0E">
        <w:rPr>
          <w:lang w:val="de-DE"/>
        </w:rPr>
        <w:t xml:space="preserve">: Viktorija </w:t>
      </w:r>
      <w:proofErr w:type="spellStart"/>
      <w:r w:rsidR="00BC697F" w:rsidRPr="00243E0E">
        <w:rPr>
          <w:lang w:val="de-DE"/>
        </w:rPr>
        <w:t>Voroncova</w:t>
      </w:r>
      <w:proofErr w:type="spellEnd"/>
      <w:r w:rsidR="00BC697F" w:rsidRPr="00243E0E">
        <w:rPr>
          <w:lang w:val="de-DE"/>
        </w:rPr>
        <w:t xml:space="preserve">, </w:t>
      </w:r>
      <w:hyperlink r:id="rId23" w:history="1">
        <w:r w:rsidR="00BC697F" w:rsidRPr="00243E0E">
          <w:rPr>
            <w:rStyle w:val="Hyperlink"/>
            <w:lang w:val="de-DE"/>
          </w:rPr>
          <w:t>media@ilte.lt</w:t>
        </w:r>
      </w:hyperlink>
      <w:r w:rsidR="00BC697F" w:rsidRPr="00243E0E">
        <w:rPr>
          <w:lang w:val="de-DE"/>
        </w:rPr>
        <w:t>, +370 601 34032</w:t>
      </w:r>
    </w:p>
    <w:p w14:paraId="521E43DC" w14:textId="5922C940" w:rsidR="00BB2E86" w:rsidRPr="00467DAA" w:rsidRDefault="00BE5022" w:rsidP="00203316">
      <w:pPr>
        <w:pStyle w:val="EIB"/>
      </w:pPr>
      <w:r w:rsidRPr="00BE5022">
        <w:t xml:space="preserve">HBOR: Vanja Ovčar, </w:t>
      </w:r>
      <w:hyperlink r:id="rId24" w:history="1">
        <w:r w:rsidRPr="002D1694">
          <w:rPr>
            <w:rStyle w:val="Hyperlink"/>
          </w:rPr>
          <w:t>vovcar@hbor.hr</w:t>
        </w:r>
      </w:hyperlink>
      <w:r>
        <w:t>,</w:t>
      </w:r>
      <w:r w:rsidRPr="00BE5022">
        <w:t xml:space="preserve"> +385 91 4591 595</w:t>
      </w:r>
    </w:p>
    <w:sectPr w:rsidR="00BB2E86" w:rsidRPr="00467DAA" w:rsidSect="005537B5">
      <w:headerReference w:type="default" r:id="rId25"/>
      <w:footerReference w:type="default" r:id="rId26"/>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BED98" w14:textId="77777777" w:rsidR="00BA086F" w:rsidRDefault="00BA086F" w:rsidP="001C2CE7">
      <w:pPr>
        <w:spacing w:before="0" w:after="0" w:line="240" w:lineRule="auto"/>
      </w:pPr>
      <w:r>
        <w:separator/>
      </w:r>
    </w:p>
  </w:endnote>
  <w:endnote w:type="continuationSeparator" w:id="0">
    <w:p w14:paraId="01D0F1FB" w14:textId="77777777" w:rsidR="00BA086F" w:rsidRDefault="00BA086F" w:rsidP="001C2CE7">
      <w:pPr>
        <w:spacing w:before="0" w:after="0" w:line="240" w:lineRule="auto"/>
      </w:pPr>
      <w:r>
        <w:continuationSeparator/>
      </w:r>
    </w:p>
  </w:endnote>
  <w:endnote w:type="continuationNotice" w:id="1">
    <w:p w14:paraId="734462AF" w14:textId="77777777" w:rsidR="00BA086F" w:rsidRDefault="00BA086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65D6E" w14:textId="18569ABE" w:rsidR="001C2CE7" w:rsidRPr="001C2CE7" w:rsidRDefault="001C2CE7" w:rsidP="00D47929">
    <w:pPr>
      <w:pStyle w:val="Footer"/>
      <w:jc w:val="center"/>
      <w:rPr>
        <w:lang w:val="de-DE"/>
      </w:rPr>
    </w:pPr>
    <w:bookmarkStart w:id="0" w:name="_Hlk125015833"/>
    <w:bookmarkStart w:id="1" w:name="_Hlk125015834"/>
    <w:r w:rsidRPr="001C2CE7">
      <w:rPr>
        <w:color w:val="A6A6A6" w:themeColor="background1" w:themeShade="A6"/>
        <w:sz w:val="16"/>
        <w:szCs w:val="20"/>
        <w:lang w:val="de-DE"/>
      </w:rPr>
      <w:t xml:space="preserve">98-100, </w:t>
    </w:r>
    <w:proofErr w:type="spellStart"/>
    <w:r w:rsidRPr="001C2CE7">
      <w:rPr>
        <w:color w:val="A6A6A6" w:themeColor="background1" w:themeShade="A6"/>
        <w:sz w:val="16"/>
        <w:szCs w:val="20"/>
        <w:lang w:val="de-DE"/>
      </w:rPr>
      <w:t>boulevard</w:t>
    </w:r>
    <w:proofErr w:type="spellEnd"/>
    <w:r w:rsidRPr="001C2CE7">
      <w:rPr>
        <w:color w:val="A6A6A6" w:themeColor="background1" w:themeShade="A6"/>
        <w:sz w:val="16"/>
        <w:szCs w:val="20"/>
        <w:lang w:val="de-DE"/>
      </w:rPr>
      <w:t xml:space="preserve"> Konrad Adenauer L-2950 Luxembourg –</w:t>
    </w:r>
    <w:r w:rsidR="00BB2E86">
      <w:rPr>
        <w:b/>
        <w:bCs/>
        <w:color w:val="A6A6A6" w:themeColor="background1" w:themeShade="A6"/>
        <w:sz w:val="16"/>
        <w:szCs w:val="20"/>
        <w:lang w:val="de-DE"/>
      </w:rPr>
      <w:t xml:space="preserve"> </w:t>
    </w:r>
    <w:r w:rsidRPr="001C2CE7">
      <w:rPr>
        <w:color w:val="A6A6A6" w:themeColor="background1" w:themeShade="A6"/>
        <w:sz w:val="16"/>
        <w:szCs w:val="20"/>
        <w:lang w:val="de-DE"/>
      </w:rPr>
      <w:t>www.eib.org/press – press@eib.org</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F9FEA" w14:textId="77777777" w:rsidR="00BA086F" w:rsidRDefault="00BA086F" w:rsidP="001C2CE7">
      <w:pPr>
        <w:spacing w:before="0" w:after="0" w:line="240" w:lineRule="auto"/>
      </w:pPr>
      <w:r>
        <w:separator/>
      </w:r>
    </w:p>
  </w:footnote>
  <w:footnote w:type="continuationSeparator" w:id="0">
    <w:p w14:paraId="60F05E20" w14:textId="77777777" w:rsidR="00BA086F" w:rsidRDefault="00BA086F" w:rsidP="001C2CE7">
      <w:pPr>
        <w:spacing w:before="0" w:after="0" w:line="240" w:lineRule="auto"/>
      </w:pPr>
      <w:r>
        <w:continuationSeparator/>
      </w:r>
    </w:p>
  </w:footnote>
  <w:footnote w:type="continuationNotice" w:id="1">
    <w:p w14:paraId="45EE45D4" w14:textId="77777777" w:rsidR="00BA086F" w:rsidRDefault="00BA086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EBFF" w14:textId="7ADA7E38" w:rsidR="001C2CE7" w:rsidRDefault="001C2CE7">
    <w:pPr>
      <w:pStyle w:val="Header"/>
    </w:pPr>
    <w:r w:rsidRPr="004F6EC9">
      <w:rPr>
        <w:noProof/>
      </w:rPr>
      <mc:AlternateContent>
        <mc:Choice Requires="wps">
          <w:drawing>
            <wp:anchor distT="0" distB="0" distL="114300" distR="114300" simplePos="0" relativeHeight="251659264" behindDoc="0" locked="0" layoutInCell="0" allowOverlap="1" wp14:anchorId="2B29321E" wp14:editId="0CB6FDB2">
              <wp:simplePos x="0" y="0"/>
              <wp:positionH relativeFrom="page">
                <wp:posOffset>0</wp:posOffset>
              </wp:positionH>
              <wp:positionV relativeFrom="page">
                <wp:posOffset>190500</wp:posOffset>
              </wp:positionV>
              <wp:extent cx="7560310" cy="273050"/>
              <wp:effectExtent l="0" t="0" r="0" b="12700"/>
              <wp:wrapNone/>
              <wp:docPr id="2" name="Text Box 2" descr="{&quot;HashCode&quot;:194037181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035743" w14:textId="38AFF2A1" w:rsidR="001C2CE7" w:rsidRPr="001C2CE7" w:rsidRDefault="001C2CE7" w:rsidP="001C2CE7">
                          <w:pPr>
                            <w:spacing w:before="0" w:after="0"/>
                            <w:jc w:val="center"/>
                            <w:rPr>
                              <w:rFonts w:ascii="Calibri" w:hAnsi="Calibri"/>
                              <w:color w:val="808080"/>
                            </w:rPr>
                          </w:pPr>
                          <w:r w:rsidRPr="001C2CE7">
                            <w:rPr>
                              <w:rFonts w:ascii="Calibri" w:hAnsi="Calibri"/>
                              <w:color w:val="80808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B29321E" id="_x0000_t202" coordsize="21600,21600" o:spt="202" path="m,l,21600r21600,l21600,xe">
              <v:stroke joinstyle="miter"/>
              <v:path gradientshapeok="t" o:connecttype="rect"/>
            </v:shapetype>
            <v:shape id="Text Box 2" o:spid="_x0000_s1026" type="#_x0000_t202" alt="{&quot;HashCode&quot;:1940371815,&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42035743" w14:textId="38AFF2A1" w:rsidR="001C2CE7" w:rsidRPr="001C2CE7" w:rsidRDefault="001C2CE7" w:rsidP="001C2CE7">
                    <w:pPr>
                      <w:spacing w:before="0" w:after="0"/>
                      <w:jc w:val="center"/>
                      <w:rPr>
                        <w:rFonts w:ascii="Calibri" w:hAnsi="Calibri"/>
                        <w:color w:val="808080"/>
                      </w:rPr>
                    </w:pPr>
                    <w:r w:rsidRPr="001C2CE7">
                      <w:rPr>
                        <w:rFonts w:ascii="Calibri" w:hAnsi="Calibri"/>
                        <w:color w:val="80808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C6220"/>
    <w:multiLevelType w:val="multilevel"/>
    <w:tmpl w:val="122A555A"/>
    <w:lvl w:ilvl="0">
      <w:start w:val="1"/>
      <w:numFmt w:val="bullet"/>
      <w:pStyle w:val="EIBbullets"/>
      <w:lvlText w:val=""/>
      <w:lvlJc w:val="left"/>
      <w:pPr>
        <w:tabs>
          <w:tab w:val="num" w:pos="720"/>
        </w:tabs>
        <w:ind w:left="720" w:hanging="360"/>
      </w:pPr>
      <w:rPr>
        <w:rFonts w:ascii="Symbol" w:hAnsi="Symbol" w:hint="default"/>
        <w:sz w:val="20"/>
        <w:lang w:val="en-GB"/>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29074740">
    <w:abstractNumId w:val="0"/>
  </w:num>
  <w:num w:numId="2" w16cid:durableId="18747730">
    <w:abstractNumId w:val="0"/>
  </w:num>
  <w:num w:numId="3" w16cid:durableId="1459256845">
    <w:abstractNumId w:val="0"/>
  </w:num>
  <w:num w:numId="4" w16cid:durableId="824709166">
    <w:abstractNumId w:val="0"/>
  </w:num>
  <w:num w:numId="5" w16cid:durableId="2138915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CE7"/>
    <w:rsid w:val="0000032F"/>
    <w:rsid w:val="00006FF8"/>
    <w:rsid w:val="00013926"/>
    <w:rsid w:val="000204E1"/>
    <w:rsid w:val="00052AC2"/>
    <w:rsid w:val="000625E2"/>
    <w:rsid w:val="00064CCC"/>
    <w:rsid w:val="00070E21"/>
    <w:rsid w:val="00086187"/>
    <w:rsid w:val="00090999"/>
    <w:rsid w:val="000929C3"/>
    <w:rsid w:val="000A5521"/>
    <w:rsid w:val="000A613F"/>
    <w:rsid w:val="000D6233"/>
    <w:rsid w:val="000F2F20"/>
    <w:rsid w:val="000F4AC0"/>
    <w:rsid w:val="000F6869"/>
    <w:rsid w:val="00104067"/>
    <w:rsid w:val="00111E40"/>
    <w:rsid w:val="00132B28"/>
    <w:rsid w:val="00155AA0"/>
    <w:rsid w:val="00162CB7"/>
    <w:rsid w:val="00181799"/>
    <w:rsid w:val="001A1DCA"/>
    <w:rsid w:val="001A3AB8"/>
    <w:rsid w:val="001C178A"/>
    <w:rsid w:val="001C2CE7"/>
    <w:rsid w:val="001D06F0"/>
    <w:rsid w:val="001D36C6"/>
    <w:rsid w:val="001D3AB8"/>
    <w:rsid w:val="001D41A5"/>
    <w:rsid w:val="001E71AE"/>
    <w:rsid w:val="00203316"/>
    <w:rsid w:val="002068FC"/>
    <w:rsid w:val="0023241A"/>
    <w:rsid w:val="00234338"/>
    <w:rsid w:val="00236B89"/>
    <w:rsid w:val="002423B2"/>
    <w:rsid w:val="00243E0E"/>
    <w:rsid w:val="002442CC"/>
    <w:rsid w:val="0024799D"/>
    <w:rsid w:val="00274C78"/>
    <w:rsid w:val="00275040"/>
    <w:rsid w:val="0028437D"/>
    <w:rsid w:val="002A1C2C"/>
    <w:rsid w:val="002B5FCA"/>
    <w:rsid w:val="002D7845"/>
    <w:rsid w:val="00305F1C"/>
    <w:rsid w:val="00324D36"/>
    <w:rsid w:val="00332C19"/>
    <w:rsid w:val="00337D87"/>
    <w:rsid w:val="003435B8"/>
    <w:rsid w:val="003457E9"/>
    <w:rsid w:val="00350468"/>
    <w:rsid w:val="00363E20"/>
    <w:rsid w:val="0037493A"/>
    <w:rsid w:val="00384D37"/>
    <w:rsid w:val="003A4796"/>
    <w:rsid w:val="003C3CD7"/>
    <w:rsid w:val="003C4EA0"/>
    <w:rsid w:val="003D05C1"/>
    <w:rsid w:val="00405B1F"/>
    <w:rsid w:val="00414EC0"/>
    <w:rsid w:val="004171A3"/>
    <w:rsid w:val="004200DA"/>
    <w:rsid w:val="00423CC0"/>
    <w:rsid w:val="00424F1C"/>
    <w:rsid w:val="00464293"/>
    <w:rsid w:val="004660D6"/>
    <w:rsid w:val="00467DAA"/>
    <w:rsid w:val="00471875"/>
    <w:rsid w:val="00475F9A"/>
    <w:rsid w:val="00477FF2"/>
    <w:rsid w:val="00496F0F"/>
    <w:rsid w:val="004A0C09"/>
    <w:rsid w:val="004A513C"/>
    <w:rsid w:val="004A6169"/>
    <w:rsid w:val="004A6E94"/>
    <w:rsid w:val="004B07E9"/>
    <w:rsid w:val="004F2805"/>
    <w:rsid w:val="004F6EC9"/>
    <w:rsid w:val="0050110B"/>
    <w:rsid w:val="00510968"/>
    <w:rsid w:val="00515F09"/>
    <w:rsid w:val="00517B19"/>
    <w:rsid w:val="00532CD4"/>
    <w:rsid w:val="00535C47"/>
    <w:rsid w:val="00545952"/>
    <w:rsid w:val="005537B5"/>
    <w:rsid w:val="00554514"/>
    <w:rsid w:val="00594EC9"/>
    <w:rsid w:val="005B4960"/>
    <w:rsid w:val="005B66A5"/>
    <w:rsid w:val="005C0225"/>
    <w:rsid w:val="005C3ABC"/>
    <w:rsid w:val="005C4F0D"/>
    <w:rsid w:val="005D6366"/>
    <w:rsid w:val="005F4592"/>
    <w:rsid w:val="00601D3A"/>
    <w:rsid w:val="00610DBA"/>
    <w:rsid w:val="0061432B"/>
    <w:rsid w:val="00615CCF"/>
    <w:rsid w:val="006538DB"/>
    <w:rsid w:val="00656080"/>
    <w:rsid w:val="00657A60"/>
    <w:rsid w:val="00660842"/>
    <w:rsid w:val="0066366B"/>
    <w:rsid w:val="0066481E"/>
    <w:rsid w:val="00676808"/>
    <w:rsid w:val="00683623"/>
    <w:rsid w:val="006950A1"/>
    <w:rsid w:val="006A3E06"/>
    <w:rsid w:val="006B7173"/>
    <w:rsid w:val="006E7850"/>
    <w:rsid w:val="0071109A"/>
    <w:rsid w:val="00743F30"/>
    <w:rsid w:val="00744727"/>
    <w:rsid w:val="00745389"/>
    <w:rsid w:val="00754CCC"/>
    <w:rsid w:val="007676BA"/>
    <w:rsid w:val="0078593E"/>
    <w:rsid w:val="00792A27"/>
    <w:rsid w:val="00793480"/>
    <w:rsid w:val="00797CA0"/>
    <w:rsid w:val="00797EE9"/>
    <w:rsid w:val="007A295C"/>
    <w:rsid w:val="007A3C25"/>
    <w:rsid w:val="007B61D7"/>
    <w:rsid w:val="007F018D"/>
    <w:rsid w:val="007F4C36"/>
    <w:rsid w:val="007F5752"/>
    <w:rsid w:val="007F7B26"/>
    <w:rsid w:val="007F7FE3"/>
    <w:rsid w:val="00800239"/>
    <w:rsid w:val="008077D9"/>
    <w:rsid w:val="0082378F"/>
    <w:rsid w:val="00825735"/>
    <w:rsid w:val="00832E0F"/>
    <w:rsid w:val="008470C5"/>
    <w:rsid w:val="00851BBD"/>
    <w:rsid w:val="00857CFE"/>
    <w:rsid w:val="008623EF"/>
    <w:rsid w:val="0086407B"/>
    <w:rsid w:val="00873FC6"/>
    <w:rsid w:val="0087794F"/>
    <w:rsid w:val="00893BA9"/>
    <w:rsid w:val="0089472C"/>
    <w:rsid w:val="008C0CA5"/>
    <w:rsid w:val="008D0DA2"/>
    <w:rsid w:val="008D71F7"/>
    <w:rsid w:val="008D772F"/>
    <w:rsid w:val="009318B1"/>
    <w:rsid w:val="00947F09"/>
    <w:rsid w:val="009607B4"/>
    <w:rsid w:val="00972C74"/>
    <w:rsid w:val="00985B2A"/>
    <w:rsid w:val="00990668"/>
    <w:rsid w:val="0099746F"/>
    <w:rsid w:val="009C105B"/>
    <w:rsid w:val="009C1C36"/>
    <w:rsid w:val="009C60BC"/>
    <w:rsid w:val="009C60F5"/>
    <w:rsid w:val="009C79DA"/>
    <w:rsid w:val="009D507F"/>
    <w:rsid w:val="00A03E9B"/>
    <w:rsid w:val="00A068B6"/>
    <w:rsid w:val="00A07DBF"/>
    <w:rsid w:val="00A315EF"/>
    <w:rsid w:val="00A35DC5"/>
    <w:rsid w:val="00A36C37"/>
    <w:rsid w:val="00A45097"/>
    <w:rsid w:val="00A4746C"/>
    <w:rsid w:val="00A64289"/>
    <w:rsid w:val="00A933CF"/>
    <w:rsid w:val="00AA77CF"/>
    <w:rsid w:val="00AB1AC3"/>
    <w:rsid w:val="00AE6D1B"/>
    <w:rsid w:val="00B15E74"/>
    <w:rsid w:val="00B34CA1"/>
    <w:rsid w:val="00B566C6"/>
    <w:rsid w:val="00B66CE2"/>
    <w:rsid w:val="00B80A96"/>
    <w:rsid w:val="00B96781"/>
    <w:rsid w:val="00BA086F"/>
    <w:rsid w:val="00BB2E86"/>
    <w:rsid w:val="00BC697F"/>
    <w:rsid w:val="00BE5022"/>
    <w:rsid w:val="00C06ACD"/>
    <w:rsid w:val="00C0742C"/>
    <w:rsid w:val="00C114EA"/>
    <w:rsid w:val="00C2101F"/>
    <w:rsid w:val="00C4033F"/>
    <w:rsid w:val="00C73218"/>
    <w:rsid w:val="00CB31AB"/>
    <w:rsid w:val="00CB4F79"/>
    <w:rsid w:val="00CC34CD"/>
    <w:rsid w:val="00CC4107"/>
    <w:rsid w:val="00CC727C"/>
    <w:rsid w:val="00CE2422"/>
    <w:rsid w:val="00CE47FD"/>
    <w:rsid w:val="00CF3D45"/>
    <w:rsid w:val="00D1413B"/>
    <w:rsid w:val="00D3201F"/>
    <w:rsid w:val="00D32B2D"/>
    <w:rsid w:val="00D36E13"/>
    <w:rsid w:val="00D43BD2"/>
    <w:rsid w:val="00D44F30"/>
    <w:rsid w:val="00D47449"/>
    <w:rsid w:val="00D47929"/>
    <w:rsid w:val="00D853EF"/>
    <w:rsid w:val="00D90B1B"/>
    <w:rsid w:val="00D939AD"/>
    <w:rsid w:val="00DA192F"/>
    <w:rsid w:val="00DA65B0"/>
    <w:rsid w:val="00DB20CE"/>
    <w:rsid w:val="00DC1980"/>
    <w:rsid w:val="00DD613E"/>
    <w:rsid w:val="00DE0A63"/>
    <w:rsid w:val="00DE3C9C"/>
    <w:rsid w:val="00DF16A6"/>
    <w:rsid w:val="00DF6B3B"/>
    <w:rsid w:val="00E137B8"/>
    <w:rsid w:val="00E209D7"/>
    <w:rsid w:val="00E230A5"/>
    <w:rsid w:val="00E2678F"/>
    <w:rsid w:val="00E276DD"/>
    <w:rsid w:val="00E35DE2"/>
    <w:rsid w:val="00E51412"/>
    <w:rsid w:val="00E70935"/>
    <w:rsid w:val="00E71A2B"/>
    <w:rsid w:val="00E81F3F"/>
    <w:rsid w:val="00E83533"/>
    <w:rsid w:val="00E87307"/>
    <w:rsid w:val="00E9103F"/>
    <w:rsid w:val="00E94C27"/>
    <w:rsid w:val="00EA5BFB"/>
    <w:rsid w:val="00ED4FA4"/>
    <w:rsid w:val="00EF2484"/>
    <w:rsid w:val="00EF6E01"/>
    <w:rsid w:val="00F02144"/>
    <w:rsid w:val="00F07A9A"/>
    <w:rsid w:val="00F40FD6"/>
    <w:rsid w:val="00F47561"/>
    <w:rsid w:val="00F557F7"/>
    <w:rsid w:val="00F55A76"/>
    <w:rsid w:val="00F605F5"/>
    <w:rsid w:val="00F60D64"/>
    <w:rsid w:val="00F62A12"/>
    <w:rsid w:val="00F63038"/>
    <w:rsid w:val="00F64DBE"/>
    <w:rsid w:val="00F6705C"/>
    <w:rsid w:val="00F9496F"/>
    <w:rsid w:val="00F97F4A"/>
    <w:rsid w:val="00FA287F"/>
    <w:rsid w:val="00FB0FDE"/>
    <w:rsid w:val="00FB1F95"/>
    <w:rsid w:val="00FC2266"/>
    <w:rsid w:val="00FD7E00"/>
    <w:rsid w:val="00FE704C"/>
    <w:rsid w:val="00FE7EE4"/>
    <w:rsid w:val="00FF3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54461"/>
  <w15:chartTrackingRefBased/>
  <w15:docId w15:val="{87A595E7-65DC-480B-85A3-0703D6AAF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CE7"/>
    <w:pPr>
      <w:spacing w:before="120" w:after="120" w:line="312" w:lineRule="auto"/>
    </w:pPr>
    <w:rPr>
      <w:rFonts w:ascii="Arial" w:eastAsiaTheme="minorHAnsi" w:hAnsi="Arial" w:cs="Calibri"/>
      <w:color w:val="000000" w:themeColor="text1"/>
      <w:szCs w:val="24"/>
      <w:lang w:val="en-US"/>
    </w:rPr>
  </w:style>
  <w:style w:type="paragraph" w:styleId="Heading1">
    <w:name w:val="heading 1"/>
    <w:basedOn w:val="Normal"/>
    <w:next w:val="Normal"/>
    <w:link w:val="Heading1Char"/>
    <w:uiPriority w:val="9"/>
    <w:qFormat/>
    <w:rsid w:val="00F605F5"/>
    <w:pPr>
      <w:keepNext/>
      <w:keepLines/>
      <w:spacing w:before="240" w:line="256" w:lineRule="auto"/>
      <w:outlineLvl w:val="0"/>
    </w:pPr>
    <w:rPr>
      <w:rFonts w:asciiTheme="majorHAnsi" w:eastAsiaTheme="majorEastAsia" w:hAnsiTheme="majorHAnsi" w:cstheme="majorBidi"/>
      <w:color w:val="365F91" w:themeColor="accent1" w:themeShade="BF"/>
      <w:sz w:val="32"/>
      <w:szCs w:val="32"/>
      <w:lang w:val="fr-BE"/>
    </w:rPr>
  </w:style>
  <w:style w:type="paragraph" w:styleId="Heading2">
    <w:name w:val="heading 2"/>
    <w:basedOn w:val="Normal"/>
    <w:next w:val="Normal"/>
    <w:link w:val="Heading2Char"/>
    <w:uiPriority w:val="9"/>
    <w:semiHidden/>
    <w:unhideWhenUsed/>
    <w:qFormat/>
    <w:rsid w:val="009C1C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IB">
    <w:name w:val="EIB"/>
    <w:basedOn w:val="Normal"/>
    <w:link w:val="EIBChar"/>
    <w:autoRedefine/>
    <w:qFormat/>
    <w:rsid w:val="00064CCC"/>
    <w:pPr>
      <w:shd w:val="clear" w:color="auto" w:fill="FFFFFF"/>
      <w:spacing w:before="100" w:beforeAutospacing="1" w:after="100" w:afterAutospacing="1" w:line="240" w:lineRule="auto"/>
      <w:jc w:val="both"/>
    </w:pPr>
    <w:rPr>
      <w:rFonts w:eastAsia="Times New Roman" w:cs="Arial"/>
      <w:szCs w:val="21"/>
      <w:lang w:val="en-GB" w:eastAsia="en-GB"/>
    </w:rPr>
  </w:style>
  <w:style w:type="character" w:customStyle="1" w:styleId="EIBChar">
    <w:name w:val="EIB Char"/>
    <w:basedOn w:val="DefaultParagraphFont"/>
    <w:link w:val="EIB"/>
    <w:rsid w:val="00064CCC"/>
    <w:rPr>
      <w:rFonts w:ascii="Arial" w:eastAsia="Times New Roman" w:hAnsi="Arial" w:cs="Arial"/>
      <w:color w:val="000000" w:themeColor="text1"/>
      <w:szCs w:val="21"/>
      <w:shd w:val="clear" w:color="auto" w:fill="FFFFFF"/>
      <w:lang w:eastAsia="en-GB"/>
    </w:rPr>
  </w:style>
  <w:style w:type="paragraph" w:customStyle="1" w:styleId="EIBTitle">
    <w:name w:val="EIB Title"/>
    <w:basedOn w:val="Normal"/>
    <w:link w:val="EIBTitleChar"/>
    <w:qFormat/>
    <w:rsid w:val="00676808"/>
    <w:pPr>
      <w:spacing w:before="0" w:after="0" w:line="240" w:lineRule="auto"/>
      <w:jc w:val="both"/>
    </w:pPr>
    <w:rPr>
      <w:rFonts w:eastAsia="Times New Roman" w:cs="Arial"/>
      <w:b/>
      <w:bCs/>
      <w:color w:val="auto"/>
      <w:sz w:val="24"/>
      <w:szCs w:val="20"/>
      <w:lang w:val="en-GB"/>
    </w:rPr>
  </w:style>
  <w:style w:type="character" w:customStyle="1" w:styleId="EIBTitleChar">
    <w:name w:val="EIB Title Char"/>
    <w:basedOn w:val="DefaultParagraphFont"/>
    <w:link w:val="EIBTitle"/>
    <w:rsid w:val="00676808"/>
    <w:rPr>
      <w:rFonts w:ascii="Arial" w:eastAsia="Times New Roman" w:hAnsi="Arial" w:cs="Arial"/>
      <w:b/>
      <w:bCs/>
      <w:sz w:val="24"/>
    </w:rPr>
  </w:style>
  <w:style w:type="paragraph" w:customStyle="1" w:styleId="EIBbullets">
    <w:name w:val="EIB bullets"/>
    <w:basedOn w:val="Normal"/>
    <w:link w:val="EIBbulletsChar"/>
    <w:qFormat/>
    <w:rsid w:val="00676808"/>
    <w:pPr>
      <w:numPr>
        <w:numId w:val="3"/>
      </w:numPr>
      <w:spacing w:before="0" w:after="0" w:line="240" w:lineRule="auto"/>
      <w:jc w:val="both"/>
    </w:pPr>
    <w:rPr>
      <w:rFonts w:eastAsia="Times New Roman" w:cs="Arial"/>
      <w:b/>
      <w:color w:val="000000"/>
      <w:sz w:val="21"/>
      <w:szCs w:val="21"/>
    </w:rPr>
  </w:style>
  <w:style w:type="character" w:customStyle="1" w:styleId="EIBbulletsChar">
    <w:name w:val="EIB bullets Char"/>
    <w:basedOn w:val="DefaultParagraphFont"/>
    <w:link w:val="EIBbullets"/>
    <w:rsid w:val="00676808"/>
    <w:rPr>
      <w:rFonts w:ascii="Arial" w:eastAsia="Times New Roman" w:hAnsi="Arial" w:cs="Arial"/>
      <w:b/>
      <w:color w:val="000000"/>
      <w:sz w:val="21"/>
      <w:szCs w:val="21"/>
      <w:lang w:val="en-US"/>
    </w:rPr>
  </w:style>
  <w:style w:type="paragraph" w:customStyle="1" w:styleId="EIBBackgroundContacts">
    <w:name w:val="EIB Background+Contacts"/>
    <w:basedOn w:val="Normal"/>
    <w:link w:val="EIBBackgroundContactsChar"/>
    <w:qFormat/>
    <w:rsid w:val="00676808"/>
    <w:pPr>
      <w:spacing w:before="0" w:after="0" w:line="240" w:lineRule="auto"/>
      <w:jc w:val="both"/>
    </w:pPr>
    <w:rPr>
      <w:rFonts w:eastAsia="Times New Roman" w:cs="Arial"/>
      <w:b/>
      <w:color w:val="000000"/>
      <w:sz w:val="22"/>
      <w:szCs w:val="22"/>
      <w:lang w:val="en-GB"/>
    </w:rPr>
  </w:style>
  <w:style w:type="character" w:customStyle="1" w:styleId="EIBBackgroundContactsChar">
    <w:name w:val="EIB Background+Contacts Char"/>
    <w:basedOn w:val="DefaultParagraphFont"/>
    <w:link w:val="EIBBackgroundContacts"/>
    <w:rsid w:val="00676808"/>
    <w:rPr>
      <w:rFonts w:ascii="Arial" w:eastAsia="Times New Roman" w:hAnsi="Arial" w:cs="Arial"/>
      <w:b/>
      <w:color w:val="000000"/>
      <w:sz w:val="22"/>
      <w:szCs w:val="22"/>
    </w:rPr>
  </w:style>
  <w:style w:type="character" w:customStyle="1" w:styleId="Heading1Char">
    <w:name w:val="Heading 1 Char"/>
    <w:basedOn w:val="DefaultParagraphFont"/>
    <w:link w:val="Heading1"/>
    <w:uiPriority w:val="9"/>
    <w:rsid w:val="00F605F5"/>
    <w:rPr>
      <w:rFonts w:asciiTheme="majorHAnsi" w:eastAsiaTheme="majorEastAsia" w:hAnsiTheme="majorHAnsi" w:cstheme="majorBidi"/>
      <w:color w:val="365F91" w:themeColor="accent1" w:themeShade="BF"/>
      <w:sz w:val="32"/>
      <w:szCs w:val="32"/>
      <w:lang w:val="fr-BE"/>
    </w:rPr>
  </w:style>
  <w:style w:type="character" w:styleId="Strong">
    <w:name w:val="Strong"/>
    <w:uiPriority w:val="22"/>
    <w:qFormat/>
    <w:rsid w:val="00F605F5"/>
    <w:rPr>
      <w:b/>
      <w:bCs/>
    </w:rPr>
  </w:style>
  <w:style w:type="paragraph" w:styleId="ListParagraph">
    <w:name w:val="List Paragraph"/>
    <w:aliases w:val="Numbered Paragraph,# pharagraph,123 List Paragraph,Main numbered paragraph,References,Numbered List Paragraph,Bullets,List Paragraph (numbered (a)),List Paragraph nowy,Liste 1,List_Paragraph,Multilevel para_II,List Paragraph1,Bullet paras"/>
    <w:basedOn w:val="Normal"/>
    <w:link w:val="ListParagraphChar"/>
    <w:uiPriority w:val="34"/>
    <w:qFormat/>
    <w:rsid w:val="00F605F5"/>
    <w:pPr>
      <w:spacing w:after="200" w:line="276" w:lineRule="auto"/>
      <w:ind w:left="720"/>
      <w:contextualSpacing/>
    </w:pPr>
    <w:rPr>
      <w:rFonts w:cs="Arial"/>
      <w:lang w:eastAsia="en-GB"/>
    </w:rPr>
  </w:style>
  <w:style w:type="character" w:customStyle="1" w:styleId="ListParagraphChar">
    <w:name w:val="List Paragraph Char"/>
    <w:aliases w:val="Numbered Paragraph Char,# pharagraph Char,123 List Paragraph Char,Main numbered paragraph Char,References Char,Numbered List Paragraph Char,Bullets Char,List Paragraph (numbered (a)) Char,List Paragraph nowy Char,Liste 1 Char"/>
    <w:link w:val="ListParagraph"/>
    <w:uiPriority w:val="34"/>
    <w:qFormat/>
    <w:locked/>
    <w:rsid w:val="00F605F5"/>
    <w:rPr>
      <w:rFonts w:ascii="Arial" w:hAnsi="Arial" w:cs="Arial"/>
      <w:lang w:eastAsia="en-GB"/>
    </w:rPr>
  </w:style>
  <w:style w:type="table" w:styleId="TableGrid">
    <w:name w:val="Table Grid"/>
    <w:basedOn w:val="TableNormal"/>
    <w:uiPriority w:val="59"/>
    <w:rsid w:val="001C2CE7"/>
    <w:pPr>
      <w:spacing w:line="312" w:lineRule="auto"/>
    </w:pPr>
    <w:rPr>
      <w:rFonts w:asciiTheme="minorHAnsi" w:eastAsiaTheme="minorHAnsi" w:hAnsiTheme="minorHAnsi" w:cstheme="minorBidi"/>
      <w:color w:val="000000" w:themeColor="text1"/>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 1"/>
    <w:basedOn w:val="Normal"/>
    <w:qFormat/>
    <w:rsid w:val="001C2CE7"/>
    <w:pPr>
      <w:spacing w:before="360"/>
      <w:jc w:val="right"/>
    </w:pPr>
    <w:rPr>
      <w:b/>
      <w:color w:val="1F497D" w:themeColor="text2"/>
      <w:sz w:val="36"/>
      <w:szCs w:val="36"/>
    </w:rPr>
  </w:style>
  <w:style w:type="paragraph" w:styleId="Header">
    <w:name w:val="header"/>
    <w:basedOn w:val="Normal"/>
    <w:link w:val="HeaderChar"/>
    <w:uiPriority w:val="99"/>
    <w:unhideWhenUsed/>
    <w:rsid w:val="001C2CE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2CE7"/>
    <w:rPr>
      <w:rFonts w:ascii="Arial" w:eastAsiaTheme="minorHAnsi" w:hAnsi="Arial" w:cs="Calibri"/>
      <w:color w:val="000000" w:themeColor="text1"/>
      <w:szCs w:val="24"/>
      <w:lang w:val="en-US"/>
    </w:rPr>
  </w:style>
  <w:style w:type="paragraph" w:styleId="Footer">
    <w:name w:val="footer"/>
    <w:basedOn w:val="Normal"/>
    <w:link w:val="FooterChar"/>
    <w:uiPriority w:val="99"/>
    <w:unhideWhenUsed/>
    <w:rsid w:val="001C2CE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2CE7"/>
    <w:rPr>
      <w:rFonts w:ascii="Arial" w:eastAsiaTheme="minorHAnsi" w:hAnsi="Arial" w:cs="Calibri"/>
      <w:color w:val="000000" w:themeColor="text1"/>
      <w:szCs w:val="24"/>
      <w:lang w:val="en-US"/>
    </w:rPr>
  </w:style>
  <w:style w:type="character" w:styleId="Hyperlink">
    <w:name w:val="Hyperlink"/>
    <w:basedOn w:val="DefaultParagraphFont"/>
    <w:uiPriority w:val="99"/>
    <w:unhideWhenUsed/>
    <w:rsid w:val="00676808"/>
    <w:rPr>
      <w:color w:val="1F497D" w:themeColor="text2"/>
      <w:sz w:val="20"/>
      <w:u w:val="single"/>
    </w:rPr>
  </w:style>
  <w:style w:type="paragraph" w:styleId="NormalWeb">
    <w:name w:val="Normal (Web)"/>
    <w:basedOn w:val="Normal"/>
    <w:uiPriority w:val="99"/>
    <w:unhideWhenUsed/>
    <w:rsid w:val="00676808"/>
    <w:rPr>
      <w:rFonts w:ascii="Times New Roman" w:hAnsi="Times New Roman" w:cs="Times New Roman"/>
    </w:rPr>
  </w:style>
  <w:style w:type="paragraph" w:customStyle="1" w:styleId="Default">
    <w:name w:val="Default"/>
    <w:rsid w:val="00676808"/>
    <w:pPr>
      <w:autoSpaceDE w:val="0"/>
      <w:autoSpaceDN w:val="0"/>
      <w:adjustRightInd w:val="0"/>
    </w:pPr>
    <w:rPr>
      <w:rFonts w:ascii="Myriad Pro" w:eastAsiaTheme="minorHAnsi" w:hAnsi="Myriad Pro" w:cs="Myriad Pro"/>
      <w:color w:val="000000"/>
      <w:sz w:val="24"/>
      <w:szCs w:val="24"/>
    </w:rPr>
  </w:style>
  <w:style w:type="character" w:customStyle="1" w:styleId="Nevyeenzmnka1">
    <w:name w:val="Nevyřešená zmínka1"/>
    <w:basedOn w:val="DefaultParagraphFont"/>
    <w:uiPriority w:val="99"/>
    <w:semiHidden/>
    <w:unhideWhenUsed/>
    <w:rsid w:val="00676808"/>
    <w:rPr>
      <w:color w:val="605E5C"/>
      <w:shd w:val="clear" w:color="auto" w:fill="E1DFDD"/>
    </w:rPr>
  </w:style>
  <w:style w:type="character" w:customStyle="1" w:styleId="EIBtitleChar0">
    <w:name w:val="EIB title Char"/>
    <w:basedOn w:val="DefaultParagraphFont"/>
    <w:link w:val="EIBtitle0"/>
    <w:locked/>
    <w:rsid w:val="00D1413B"/>
    <w:rPr>
      <w:rFonts w:ascii="Arial" w:eastAsia="Times New Roman" w:hAnsi="Arial" w:cs="Arial"/>
      <w:b/>
      <w:bCs/>
      <w:sz w:val="24"/>
      <w:lang w:val="fr-BE"/>
    </w:rPr>
  </w:style>
  <w:style w:type="paragraph" w:customStyle="1" w:styleId="EIBtitle0">
    <w:name w:val="EIB title"/>
    <w:basedOn w:val="Normal"/>
    <w:link w:val="EIBtitleChar0"/>
    <w:qFormat/>
    <w:rsid w:val="00D1413B"/>
    <w:pPr>
      <w:spacing w:before="0" w:after="0" w:line="240" w:lineRule="auto"/>
    </w:pPr>
    <w:rPr>
      <w:rFonts w:eastAsia="Times New Roman" w:cs="Arial"/>
      <w:b/>
      <w:bCs/>
      <w:color w:val="auto"/>
      <w:sz w:val="24"/>
      <w:szCs w:val="20"/>
      <w:lang w:val="fr-BE"/>
    </w:rPr>
  </w:style>
  <w:style w:type="character" w:customStyle="1" w:styleId="ui-iconui-icon-mail-closed">
    <w:name w:val="ui-icon ui-icon-mail-closed"/>
    <w:basedOn w:val="DefaultParagraphFont"/>
    <w:rsid w:val="005537B5"/>
  </w:style>
  <w:style w:type="character" w:customStyle="1" w:styleId="ui-iconui-icon-eib-phone">
    <w:name w:val="ui-icon ui-icon-eib-phone"/>
    <w:basedOn w:val="DefaultParagraphFont"/>
    <w:rsid w:val="005537B5"/>
  </w:style>
  <w:style w:type="character" w:customStyle="1" w:styleId="Heading2Char">
    <w:name w:val="Heading 2 Char"/>
    <w:basedOn w:val="DefaultParagraphFont"/>
    <w:link w:val="Heading2"/>
    <w:uiPriority w:val="9"/>
    <w:semiHidden/>
    <w:rsid w:val="009C1C36"/>
    <w:rPr>
      <w:rFonts w:asciiTheme="majorHAnsi" w:eastAsiaTheme="majorEastAsia" w:hAnsiTheme="majorHAnsi" w:cstheme="majorBidi"/>
      <w:color w:val="365F91" w:themeColor="accent1" w:themeShade="BF"/>
      <w:sz w:val="26"/>
      <w:szCs w:val="26"/>
      <w:lang w:val="en-US"/>
    </w:rPr>
  </w:style>
  <w:style w:type="paragraph" w:styleId="Revision">
    <w:name w:val="Revision"/>
    <w:hidden/>
    <w:uiPriority w:val="99"/>
    <w:semiHidden/>
    <w:rsid w:val="00A933CF"/>
    <w:rPr>
      <w:rFonts w:ascii="Arial" w:eastAsiaTheme="minorHAnsi" w:hAnsi="Arial" w:cs="Calibri"/>
      <w:color w:val="000000" w:themeColor="text1"/>
      <w:szCs w:val="24"/>
      <w:lang w:val="en-US"/>
    </w:rPr>
  </w:style>
  <w:style w:type="paragraph" w:styleId="BalloonText">
    <w:name w:val="Balloon Text"/>
    <w:basedOn w:val="Normal"/>
    <w:link w:val="BalloonTextChar"/>
    <w:uiPriority w:val="99"/>
    <w:semiHidden/>
    <w:unhideWhenUsed/>
    <w:rsid w:val="009D507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07F"/>
    <w:rPr>
      <w:rFonts w:ascii="Segoe UI" w:eastAsiaTheme="minorHAnsi" w:hAnsi="Segoe UI" w:cs="Segoe UI"/>
      <w:color w:val="000000" w:themeColor="text1"/>
      <w:sz w:val="18"/>
      <w:szCs w:val="18"/>
      <w:lang w:val="en-US"/>
    </w:rPr>
  </w:style>
  <w:style w:type="character" w:styleId="UnresolvedMention">
    <w:name w:val="Unresolved Mention"/>
    <w:basedOn w:val="DefaultParagraphFont"/>
    <w:uiPriority w:val="99"/>
    <w:semiHidden/>
    <w:unhideWhenUsed/>
    <w:rsid w:val="004F6EC9"/>
    <w:rPr>
      <w:color w:val="605E5C"/>
      <w:shd w:val="clear" w:color="auto" w:fill="E1DFDD"/>
    </w:rPr>
  </w:style>
  <w:style w:type="character" w:styleId="CommentReference">
    <w:name w:val="annotation reference"/>
    <w:basedOn w:val="DefaultParagraphFont"/>
    <w:uiPriority w:val="99"/>
    <w:semiHidden/>
    <w:unhideWhenUsed/>
    <w:rsid w:val="00B566C6"/>
    <w:rPr>
      <w:sz w:val="16"/>
      <w:szCs w:val="16"/>
    </w:rPr>
  </w:style>
  <w:style w:type="paragraph" w:styleId="CommentText">
    <w:name w:val="annotation text"/>
    <w:basedOn w:val="Normal"/>
    <w:link w:val="CommentTextChar"/>
    <w:uiPriority w:val="99"/>
    <w:unhideWhenUsed/>
    <w:rsid w:val="00B566C6"/>
    <w:pPr>
      <w:spacing w:line="240" w:lineRule="auto"/>
    </w:pPr>
    <w:rPr>
      <w:szCs w:val="20"/>
    </w:rPr>
  </w:style>
  <w:style w:type="character" w:customStyle="1" w:styleId="CommentTextChar">
    <w:name w:val="Comment Text Char"/>
    <w:basedOn w:val="DefaultParagraphFont"/>
    <w:link w:val="CommentText"/>
    <w:uiPriority w:val="99"/>
    <w:rsid w:val="00B566C6"/>
    <w:rPr>
      <w:rFonts w:ascii="Arial" w:eastAsiaTheme="minorHAnsi" w:hAnsi="Arial" w:cs="Calibri"/>
      <w:color w:val="000000" w:themeColor="text1"/>
      <w:lang w:val="en-US"/>
    </w:rPr>
  </w:style>
  <w:style w:type="paragraph" w:styleId="CommentSubject">
    <w:name w:val="annotation subject"/>
    <w:basedOn w:val="CommentText"/>
    <w:next w:val="CommentText"/>
    <w:link w:val="CommentSubjectChar"/>
    <w:uiPriority w:val="99"/>
    <w:semiHidden/>
    <w:unhideWhenUsed/>
    <w:rsid w:val="00B566C6"/>
    <w:rPr>
      <w:b/>
      <w:bCs/>
    </w:rPr>
  </w:style>
  <w:style w:type="character" w:customStyle="1" w:styleId="CommentSubjectChar">
    <w:name w:val="Comment Subject Char"/>
    <w:basedOn w:val="CommentTextChar"/>
    <w:link w:val="CommentSubject"/>
    <w:uiPriority w:val="99"/>
    <w:semiHidden/>
    <w:rsid w:val="00B566C6"/>
    <w:rPr>
      <w:rFonts w:ascii="Arial" w:eastAsiaTheme="minorHAnsi" w:hAnsi="Arial" w:cs="Calibri"/>
      <w:b/>
      <w:bCs/>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637495">
      <w:bodyDiv w:val="1"/>
      <w:marLeft w:val="0"/>
      <w:marRight w:val="0"/>
      <w:marTop w:val="0"/>
      <w:marBottom w:val="0"/>
      <w:divBdr>
        <w:top w:val="none" w:sz="0" w:space="0" w:color="auto"/>
        <w:left w:val="none" w:sz="0" w:space="0" w:color="auto"/>
        <w:bottom w:val="none" w:sz="0" w:space="0" w:color="auto"/>
        <w:right w:val="none" w:sz="0" w:space="0" w:color="auto"/>
      </w:divBdr>
    </w:div>
    <w:div w:id="1852262185">
      <w:bodyDiv w:val="1"/>
      <w:marLeft w:val="0"/>
      <w:marRight w:val="0"/>
      <w:marTop w:val="0"/>
      <w:marBottom w:val="0"/>
      <w:divBdr>
        <w:top w:val="none" w:sz="0" w:space="0" w:color="auto"/>
        <w:left w:val="none" w:sz="0" w:space="0" w:color="auto"/>
        <w:bottom w:val="none" w:sz="0" w:space="0" w:color="auto"/>
        <w:right w:val="none" w:sz="0" w:space="0" w:color="auto"/>
      </w:divBdr>
    </w:div>
    <w:div w:id="202816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petra.ambrozic@sid.si"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i.antunovic@ext.eib.or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vovcar@hbor.hr"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media@ilte.lt"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mailto:malina.gont@bidromania.e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esentation" ma:contentTypeID="0x0101002E9CADB0E0AF4E78B3CBCEE246210961000F98C8810D192946926AB9FB985589F3" ma:contentTypeVersion="6" ma:contentTypeDescription="Presentation document" ma:contentTypeScope="" ma:versionID="2862f64f1969587890b6ceb27fa12cbb">
  <xsd:schema xmlns:xsd="http://www.w3.org/2001/XMLSchema" xmlns:xs="http://www.w3.org/2001/XMLSchema" xmlns:p="http://schemas.microsoft.com/office/2006/metadata/properties" xmlns:ns1="74cd5ae5-b328-4506-9bb6-bc3cb33bda42" xmlns:ns3="b574ff26-65ec-4fe8-8b31-145c7a494e43" targetNamespace="http://schemas.microsoft.com/office/2006/metadata/properties" ma:root="true" ma:fieldsID="21613ae8abb1532ce01dd35080e16c64" ns1:_="" ns3:_="">
    <xsd:import namespace="74cd5ae5-b328-4506-9bb6-bc3cb33bda42"/>
    <xsd:import namespace="b574ff26-65ec-4fe8-8b31-145c7a494e43"/>
    <xsd:element name="properties">
      <xsd:complexType>
        <xsd:sequence>
          <xsd:element name="documentManagement">
            <xsd:complexType>
              <xsd:all>
                <xsd:element ref="ns1:SMSI_SensitiveCntDescriptors" minOccurs="0"/>
                <xsd:element ref="ns1:SMSI_AuthorName" minOccurs="0"/>
                <xsd:element ref="ns1:SMSI_EventStartDate" minOccurs="0"/>
                <xsd:element ref="ns1:SMSI_Keywords" minOccurs="0"/>
                <xsd:element ref="ns1:_dlc_DocId" minOccurs="0"/>
                <xsd:element ref="ns1:_dlc_DocIdUrl" minOccurs="0"/>
                <xsd:element ref="ns1:_dlc_DocIdPersistId" minOccurs="0"/>
                <xsd:element ref="ns1:p2d7abe6ec434cd8b5be7a81357d8090" minOccurs="0"/>
                <xsd:element ref="ns1:TaxCatchAll" minOccurs="0"/>
                <xsd:element ref="ns1:TaxCatchAllLabel" minOccurs="0"/>
                <xsd:element ref="ns3:e43a9586a383445fa11bf5f4d54a4ab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d5ae5-b328-4506-9bb6-bc3cb33bda42" elementFormDefault="qualified">
    <xsd:import namespace="http://schemas.microsoft.com/office/2006/documentManagement/types"/>
    <xsd:import namespace="http://schemas.microsoft.com/office/infopath/2007/PartnerControls"/>
    <xsd:element name="SMSI_SensitiveCntDescriptors" ma:index="1" nillable="true" ma:displayName="Sensitive Content Descriptors" ma:format="Dropdown" ma:internalName="SMSI_SensitiveCntDescriptors">
      <xsd:simpleType>
        <xsd:restriction base="dms:Choice">
          <xsd:enumeration value="Audit Function"/>
          <xsd:enumeration value="Commercially Sensitive"/>
          <xsd:enumeration value="Compliance"/>
          <xsd:enumeration value="Inside Information - Market Abuse"/>
          <xsd:enumeration value="Intellectual Property"/>
          <xsd:enumeration value="Investigation"/>
          <xsd:enumeration value="Legally Privileged - Litigation"/>
          <xsd:enumeration value="Personal Data"/>
          <xsd:enumeration value="Politically Sensitive"/>
          <xsd:enumeration value="Security Matter"/>
          <xsd:enumeration value="Staff Matter"/>
          <xsd:enumeration value="Under Confidentiality Agreement"/>
          <xsd:enumeration value="Whistleblowing"/>
          <xsd:enumeration value="Other"/>
        </xsd:restriction>
      </xsd:simpleType>
    </xsd:element>
    <xsd:element name="SMSI_AuthorName" ma:index="4" nillable="true" ma:displayName="Author Name" ma:list="UserInfo" ma:SharePointGroup="0" ma:internalName="SMSI_AuthorNam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MSI_EventStartDate" ma:index="5" nillable="true" ma:displayName="Event Start Date" ma:format="DateOnly" ma:internalName="SMSI_EventStartDate">
      <xsd:simpleType>
        <xsd:restriction base="dms:DateTime"/>
      </xsd:simpleType>
    </xsd:element>
    <xsd:element name="SMSI_Keywords" ma:index="6" nillable="true" ma:displayName="Subject Keywords" ma:internalName="SMSI_Keywords">
      <xsd:simpleType>
        <xsd:restriction base="dms:Text">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p2d7abe6ec434cd8b5be7a81357d8090" ma:index="14" nillable="true" ma:taxonomy="true" ma:internalName="p2d7abe6ec434cd8b5be7a81357d8090" ma:taxonomyFieldName="SmartSiteICLevel" ma:displayName="IC Level" ma:readOnly="false" ma:default="" ma:fieldId="{92d7abe6-ec43-4cd8-b5be-7a81357d8090}" ma:sspId="a8b65af3-bcad-4fc3-ac7d-38a6a69841ea" ma:termSetId="2a5bccb8-22f6-4c5f-96c9-6ca8a9f8a692" ma:anchorId="49a090be-7fcf-44f4-8a3a-ee848bc19260" ma:open="false" ma:isKeyword="false">
      <xsd:complexType>
        <xsd:sequence>
          <xsd:element ref="pc:Terms" minOccurs="0" maxOccurs="1"/>
        </xsd:sequence>
      </xsd:complexType>
    </xsd:element>
    <xsd:element name="TaxCatchAll" ma:index="15" nillable="true" ma:displayName="Taxonomy Catch All Column" ma:hidden="true" ma:list="{4e08c0b1-e979-404e-9094-93945782a3c2}" ma:internalName="TaxCatchAll" ma:showField="CatchAllData" ma:web="b574ff26-65ec-4fe8-8b31-145c7a494e43">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4e08c0b1-e979-404e-9094-93945782a3c2}" ma:internalName="TaxCatchAllLabel" ma:readOnly="true" ma:showField="CatchAllDataLabel" ma:web="b574ff26-65ec-4fe8-8b31-145c7a494e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74ff26-65ec-4fe8-8b31-145c7a494e43" elementFormDefault="qualified">
    <xsd:import namespace="http://schemas.microsoft.com/office/2006/documentManagement/types"/>
    <xsd:import namespace="http://schemas.microsoft.com/office/infopath/2007/PartnerControls"/>
    <xsd:element name="e43a9586a383445fa11bf5f4d54a4ab9" ma:index="19" nillable="true" ma:taxonomy="true" ma:internalName="e43a9586a383445fa11bf5f4d54a4ab9" ma:taxonomyFieldName="SmartSiteLocalMetadata" ma:displayName="Local Metadata" ma:fieldId="{e43a9586-a383-445f-a11b-f5f4d54a4ab9}" ma:sspId="00000000-0000-0000-0000-000000000000" ma:termSetId="00000000-0000-0000-0000-000000000000"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a8b65af3-bcad-4fc3-ac7d-38a6a69841ea" ContentTypeId="0x0101002E9CADB0E0AF4E78B3CBCEE246210961"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74cd5ae5-b328-4506-9bb6-bc3cb33bda42">MP56ZMYFMNFZ-1390918481-778</_dlc_DocId>
    <_dlc_DocIdUrl xmlns="74cd5ae5-b328-4506-9bb6-bc3cb33bda42">
      <Url>https://smartsite.eib.org/sites/20001124/_layouts/15/DocIdRedir.aspx?ID=MP56ZMYFMNFZ-1390918481-778</Url>
      <Description>MP56ZMYFMNFZ-1390918481-778</Description>
    </_dlc_DocIdUrl>
    <TaxCatchAll xmlns="74cd5ae5-b328-4506-9bb6-bc3cb33bda42"/>
    <SMSI_SensitiveCntDescriptors xmlns="74cd5ae5-b328-4506-9bb6-bc3cb33bda42" xsi:nil="true"/>
    <e43a9586a383445fa11bf5f4d54a4ab9 xmlns="b574ff26-65ec-4fe8-8b31-145c7a494e43">
      <Terms xmlns="http://schemas.microsoft.com/office/infopath/2007/PartnerControls"/>
    </e43a9586a383445fa11bf5f4d54a4ab9>
    <SMSI_AuthorName xmlns="74cd5ae5-b328-4506-9bb6-bc3cb33bda42">
      <UserInfo>
        <DisplayName/>
        <AccountId xsi:nil="true"/>
        <AccountType/>
      </UserInfo>
    </SMSI_AuthorName>
    <p2d7abe6ec434cd8b5be7a81357d8090 xmlns="74cd5ae5-b328-4506-9bb6-bc3cb33bda42">
      <Terms xmlns="http://schemas.microsoft.com/office/infopath/2007/PartnerControls"/>
    </p2d7abe6ec434cd8b5be7a81357d8090>
    <SMSI_Keywords xmlns="74cd5ae5-b328-4506-9bb6-bc3cb33bda42" xsi:nil="true"/>
    <SMSI_EventStartDate xmlns="74cd5ae5-b328-4506-9bb6-bc3cb33bda42"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54018-E159-46A3-86F3-507729EDA8E1}">
  <ds:schemaRefs>
    <ds:schemaRef ds:uri="http://schemas.microsoft.com/sharepoint/v3/contenttype/forms"/>
  </ds:schemaRefs>
</ds:datastoreItem>
</file>

<file path=customXml/itemProps2.xml><?xml version="1.0" encoding="utf-8"?>
<ds:datastoreItem xmlns:ds="http://schemas.openxmlformats.org/officeDocument/2006/customXml" ds:itemID="{98F47C30-96F5-4167-957F-D30C1EC2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d5ae5-b328-4506-9bb6-bc3cb33bda42"/>
    <ds:schemaRef ds:uri="b574ff26-65ec-4fe8-8b31-145c7a494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943D35-35D3-41AA-B44E-1F9DC1C2416F}">
  <ds:schemaRefs>
    <ds:schemaRef ds:uri="http://schemas.microsoft.com/sharepoint/events"/>
  </ds:schemaRefs>
</ds:datastoreItem>
</file>

<file path=customXml/itemProps4.xml><?xml version="1.0" encoding="utf-8"?>
<ds:datastoreItem xmlns:ds="http://schemas.openxmlformats.org/officeDocument/2006/customXml" ds:itemID="{17C9743F-0013-49EA-B6C9-FD80F6063CA4}">
  <ds:schemaRefs>
    <ds:schemaRef ds:uri="Microsoft.SharePoint.Taxonomy.ContentTypeSync"/>
  </ds:schemaRefs>
</ds:datastoreItem>
</file>

<file path=customXml/itemProps5.xml><?xml version="1.0" encoding="utf-8"?>
<ds:datastoreItem xmlns:ds="http://schemas.openxmlformats.org/officeDocument/2006/customXml" ds:itemID="{09D03CC3-532E-4FB8-9D3D-A49ECE68A61A}">
  <ds:schemaRefs>
    <ds:schemaRef ds:uri="http://schemas.microsoft.com/office/2006/metadata/properties"/>
    <ds:schemaRef ds:uri="http://schemas.microsoft.com/office/infopath/2007/PartnerControls"/>
    <ds:schemaRef ds:uri="74cd5ae5-b328-4506-9bb6-bc3cb33bda42"/>
    <ds:schemaRef ds:uri="b574ff26-65ec-4fe8-8b31-145c7a494e43"/>
  </ds:schemaRefs>
</ds:datastoreItem>
</file>

<file path=customXml/itemProps6.xml><?xml version="1.0" encoding="utf-8"?>
<ds:datastoreItem xmlns:ds="http://schemas.openxmlformats.org/officeDocument/2006/customXml" ds:itemID="{46BC19DD-ED63-478E-9E40-D939A6F8D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2009</Words>
  <Characters>12000</Characters>
  <Application>Microsoft Office Word</Application>
  <DocSecurity>0</DocSecurity>
  <Lines>173</Lines>
  <Paragraphs>52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European Investment Bank</Company>
  <LinksUpToDate>false</LinksUpToDate>
  <CharactersWithSpaces>13957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dc:creator>
  <cp:keywords/>
  <dc:description/>
  <cp:lastModifiedBy>HENRY Nadine</cp:lastModifiedBy>
  <cp:revision>2</cp:revision>
  <dcterms:created xsi:type="dcterms:W3CDTF">2026-09-24T09:54:00Z</dcterms:created>
  <dcterms:modified xsi:type="dcterms:W3CDTF">2026-09-24T09:54:00Z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b66c57-0888-49c5-9c42-f8765a044c7f_Enabled">
    <vt:lpwstr>true</vt:lpwstr>
  </property>
  <property fmtid="{D5CDD505-2E9C-101B-9397-08002B2CF9AE}" pid="3" name="MSIP_Label_a2b66c57-0888-49c5-9c42-f8765a044c7f_SetDate">
    <vt:lpwstr>2023-07-12T08:12:32Z</vt:lpwstr>
  </property>
  <property fmtid="{D5CDD505-2E9C-101B-9397-08002B2CF9AE}" pid="4" name="MSIP_Label_a2b66c57-0888-49c5-9c42-f8765a044c7f_Method">
    <vt:lpwstr>Privileged</vt:lpwstr>
  </property>
  <property fmtid="{D5CDD505-2E9C-101B-9397-08002B2CF9AE}" pid="5" name="MSIP_Label_a2b66c57-0888-49c5-9c42-f8765a044c7f_Name">
    <vt:lpwstr>Default Public</vt:lpwstr>
  </property>
  <property fmtid="{D5CDD505-2E9C-101B-9397-08002B2CF9AE}" pid="6" name="MSIP_Label_a2b66c57-0888-49c5-9c42-f8765a044c7f_SiteId">
    <vt:lpwstr>0b96d5d2-d153-4370-a2c7-8a926f24c8a1</vt:lpwstr>
  </property>
  <property fmtid="{D5CDD505-2E9C-101B-9397-08002B2CF9AE}" pid="7" name="MSIP_Label_a2b66c57-0888-49c5-9c42-f8765a044c7f_ActionId">
    <vt:lpwstr>b17cbb07-2979-464a-9d8c-b203d42bf12a</vt:lpwstr>
  </property>
  <property fmtid="{D5CDD505-2E9C-101B-9397-08002B2CF9AE}" pid="8" name="MSIP_Label_a2b66c57-0888-49c5-9c42-f8765a044c7f_ContentBits">
    <vt:lpwstr>1</vt:lpwstr>
  </property>
  <property fmtid="{D5CDD505-2E9C-101B-9397-08002B2CF9AE}" pid="9" name="ContentTypeId">
    <vt:lpwstr>0x0101002E9CADB0E0AF4E78B3CBCEE246210961000F98C8810D192946926AB9FB985589F3</vt:lpwstr>
  </property>
  <property fmtid="{D5CDD505-2E9C-101B-9397-08002B2CF9AE}" pid="10" name="_dlc_DocIdItemGuid">
    <vt:lpwstr>8a900932-4baf-44b1-8f33-8606c7f204a7</vt:lpwstr>
  </property>
  <property fmtid="{D5CDD505-2E9C-101B-9397-08002B2CF9AE}" pid="11" name="MSIP_Label_9cdfe1c1-b1b6-43c7-bd25-dc909155e0b9_Enabled">
    <vt:lpwstr>true</vt:lpwstr>
  </property>
  <property fmtid="{D5CDD505-2E9C-101B-9397-08002B2CF9AE}" pid="12" name="MSIP_Label_9cdfe1c1-b1b6-43c7-bd25-dc909155e0b9_SetDate">
    <vt:lpwstr>2024-09-27T08:59:13Z</vt:lpwstr>
  </property>
  <property fmtid="{D5CDD505-2E9C-101B-9397-08002B2CF9AE}" pid="13" name="MSIP_Label_9cdfe1c1-b1b6-43c7-bd25-dc909155e0b9_Method">
    <vt:lpwstr>Standard</vt:lpwstr>
  </property>
  <property fmtid="{D5CDD505-2E9C-101B-9397-08002B2CF9AE}" pid="14" name="MSIP_Label_9cdfe1c1-b1b6-43c7-bd25-dc909155e0b9_Name">
    <vt:lpwstr>Interní informace</vt:lpwstr>
  </property>
  <property fmtid="{D5CDD505-2E9C-101B-9397-08002B2CF9AE}" pid="15" name="MSIP_Label_9cdfe1c1-b1b6-43c7-bd25-dc909155e0b9_SiteId">
    <vt:lpwstr>4d1a3907-6ad7-4739-80b5-b7ed4066a30b</vt:lpwstr>
  </property>
  <property fmtid="{D5CDD505-2E9C-101B-9397-08002B2CF9AE}" pid="16" name="MSIP_Label_9cdfe1c1-b1b6-43c7-bd25-dc909155e0b9_ActionId">
    <vt:lpwstr>97bde235-5c92-4478-8f9e-741c3e59eb91</vt:lpwstr>
  </property>
  <property fmtid="{D5CDD505-2E9C-101B-9397-08002B2CF9AE}" pid="17" name="MSIP_Label_9cdfe1c1-b1b6-43c7-bd25-dc909155e0b9_ContentBits">
    <vt:lpwstr>0</vt:lpwstr>
  </property>
</Properties>
</file>