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4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788"/>
        <w:gridCol w:w="1293"/>
      </w:tblGrid>
      <w:tr w:rsidR="001C2CE7" w:rsidRPr="00867711" w14:paraId="71BE5608" w14:textId="77777777" w:rsidTr="00805374">
        <w:trPr>
          <w:trHeight w:val="1399"/>
        </w:trPr>
        <w:tc>
          <w:tcPr>
            <w:tcW w:w="1737" w:type="dxa"/>
            <w:vAlign w:val="center"/>
          </w:tcPr>
          <w:p w14:paraId="55147A2B" w14:textId="77777777" w:rsidR="001C2CE7" w:rsidRPr="00867711" w:rsidRDefault="001C2CE7" w:rsidP="00812281">
            <w:pPr>
              <w:pStyle w:val="Heading1"/>
              <w:spacing w:before="100" w:beforeAutospacing="1" w:after="100" w:afterAutospacing="1" w:line="240" w:lineRule="auto"/>
              <w:jc w:val="both"/>
              <w:rPr>
                <w:sz w:val="24"/>
                <w:szCs w:val="24"/>
                <w:lang w:val="en-GB"/>
              </w:rPr>
            </w:pPr>
            <w:r w:rsidRPr="00867711">
              <w:rPr>
                <w:noProof/>
                <w:lang w:val="en-GB"/>
              </w:rPr>
              <w:drawing>
                <wp:inline distT="0" distB="0" distL="0" distR="0" wp14:anchorId="2DF76340" wp14:editId="06A748EC">
                  <wp:extent cx="1395730" cy="934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_EIBLOGO_BASIC_VERTI_RGB.jpg"/>
                          <pic:cNvPicPr/>
                        </pic:nvPicPr>
                        <pic:blipFill rotWithShape="1">
                          <a:blip r:embed="rId10" cstate="print">
                            <a:extLst>
                              <a:ext uri="{28A0092B-C50C-407E-A947-70E740481C1C}">
                                <a14:useLocalDpi xmlns:a14="http://schemas.microsoft.com/office/drawing/2010/main" val="0"/>
                              </a:ext>
                            </a:extLst>
                          </a:blip>
                          <a:srcRect l="31996" t="17409" b="17511"/>
                          <a:stretch/>
                        </pic:blipFill>
                        <pic:spPr bwMode="auto">
                          <a:xfrm>
                            <a:off x="0" y="0"/>
                            <a:ext cx="1395730" cy="934720"/>
                          </a:xfrm>
                          <a:prstGeom prst="rect">
                            <a:avLst/>
                          </a:prstGeom>
                          <a:ln>
                            <a:noFill/>
                          </a:ln>
                          <a:extLst>
                            <a:ext uri="{53640926-AAD7-44D8-BBD7-CCE9431645EC}">
                              <a14:shadowObscured xmlns:a14="http://schemas.microsoft.com/office/drawing/2010/main"/>
                            </a:ext>
                          </a:extLst>
                        </pic:spPr>
                      </pic:pic>
                    </a:graphicData>
                  </a:graphic>
                </wp:inline>
              </w:drawing>
            </w:r>
          </w:p>
        </w:tc>
        <w:tc>
          <w:tcPr>
            <w:tcW w:w="2780" w:type="dxa"/>
            <w:gridSpan w:val="2"/>
            <w:vAlign w:val="center"/>
          </w:tcPr>
          <w:p w14:paraId="1D917EE8" w14:textId="5F7F5B2C" w:rsidR="001C2CE7" w:rsidRPr="00867711" w:rsidRDefault="001C2CE7" w:rsidP="06186A4D">
            <w:pPr>
              <w:pStyle w:val="Header1"/>
              <w:spacing w:before="100" w:beforeAutospacing="1" w:after="100" w:afterAutospacing="1" w:line="240" w:lineRule="auto"/>
              <w:rPr>
                <w:b w:val="0"/>
                <w:color w:val="auto"/>
                <w:sz w:val="20"/>
                <w:szCs w:val="20"/>
                <w:lang w:val="en-GB"/>
              </w:rPr>
            </w:pPr>
          </w:p>
        </w:tc>
      </w:tr>
      <w:tr w:rsidR="00805374" w:rsidRPr="00867711" w14:paraId="145F30CE" w14:textId="77777777" w:rsidTr="00805374">
        <w:trPr>
          <w:gridAfter w:val="1"/>
          <w:wAfter w:w="1737" w:type="dxa"/>
          <w:trHeight w:val="1399"/>
        </w:trPr>
        <w:tc>
          <w:tcPr>
            <w:tcW w:w="2780" w:type="dxa"/>
            <w:gridSpan w:val="2"/>
            <w:vAlign w:val="center"/>
          </w:tcPr>
          <w:p w14:paraId="5261FE89" w14:textId="77777777" w:rsidR="00AF611F" w:rsidRDefault="00AF611F" w:rsidP="00805374">
            <w:pPr>
              <w:pStyle w:val="Header1"/>
              <w:spacing w:before="100" w:beforeAutospacing="1" w:after="100" w:afterAutospacing="1" w:line="240" w:lineRule="auto"/>
              <w:jc w:val="left"/>
              <w:rPr>
                <w:sz w:val="22"/>
                <w:szCs w:val="22"/>
                <w:lang w:val="en-GB"/>
              </w:rPr>
            </w:pPr>
          </w:p>
          <w:p w14:paraId="1E8C0629" w14:textId="5FF19806" w:rsidR="00805374" w:rsidRPr="00867711" w:rsidRDefault="00805374" w:rsidP="00805374">
            <w:pPr>
              <w:pStyle w:val="Header1"/>
              <w:spacing w:before="100" w:beforeAutospacing="1" w:after="100" w:afterAutospacing="1" w:line="240" w:lineRule="auto"/>
              <w:jc w:val="left"/>
              <w:rPr>
                <w:sz w:val="22"/>
                <w:szCs w:val="22"/>
                <w:lang w:val="en-GB"/>
              </w:rPr>
            </w:pPr>
            <w:r w:rsidRPr="00867711">
              <w:rPr>
                <w:sz w:val="22"/>
                <w:szCs w:val="22"/>
                <w:lang w:val="en-GB"/>
              </w:rPr>
              <w:t>Joint PRESS RELEASE</w:t>
            </w:r>
            <w:r w:rsidRPr="00867711">
              <w:rPr>
                <w:sz w:val="22"/>
                <w:szCs w:val="22"/>
                <w:lang w:val="en-GB"/>
              </w:rPr>
              <w:br/>
            </w:r>
            <w:r w:rsidRPr="00867711">
              <w:rPr>
                <w:b w:val="0"/>
                <w:sz w:val="22"/>
                <w:szCs w:val="22"/>
                <w:lang w:val="en-GB"/>
              </w:rPr>
              <w:t>2026-</w:t>
            </w:r>
            <w:r w:rsidR="00AF611F">
              <w:rPr>
                <w:b w:val="0"/>
                <w:sz w:val="22"/>
                <w:szCs w:val="22"/>
                <w:lang w:val="en-GB"/>
              </w:rPr>
              <w:t>248</w:t>
            </w:r>
            <w:r w:rsidRPr="00867711">
              <w:rPr>
                <w:b w:val="0"/>
                <w:sz w:val="22"/>
                <w:szCs w:val="22"/>
                <w:lang w:val="en-GB"/>
              </w:rPr>
              <w:t>-EN</w:t>
            </w:r>
          </w:p>
          <w:p w14:paraId="7CD50CF6" w14:textId="49D3E632" w:rsidR="00805374" w:rsidRPr="00867711" w:rsidRDefault="00417727" w:rsidP="00805374">
            <w:pPr>
              <w:pStyle w:val="Header1"/>
              <w:spacing w:before="100" w:beforeAutospacing="1" w:after="100" w:afterAutospacing="1" w:line="240" w:lineRule="auto"/>
              <w:jc w:val="left"/>
              <w:rPr>
                <w:b w:val="0"/>
                <w:color w:val="auto"/>
                <w:sz w:val="20"/>
                <w:szCs w:val="20"/>
                <w:lang w:val="en-GB"/>
              </w:rPr>
            </w:pPr>
            <w:r w:rsidRPr="00867711">
              <w:rPr>
                <w:b w:val="0"/>
                <w:color w:val="auto"/>
                <w:sz w:val="20"/>
                <w:szCs w:val="20"/>
                <w:lang w:val="en-GB"/>
              </w:rPr>
              <w:t>Vienna</w:t>
            </w:r>
            <w:r w:rsidR="00805374" w:rsidRPr="00867711">
              <w:rPr>
                <w:b w:val="0"/>
                <w:color w:val="auto"/>
                <w:sz w:val="20"/>
                <w:szCs w:val="20"/>
                <w:lang w:val="en-GB"/>
              </w:rPr>
              <w:t xml:space="preserve">, </w:t>
            </w:r>
            <w:r w:rsidR="00E84DBF" w:rsidRPr="00867711">
              <w:rPr>
                <w:b w:val="0"/>
                <w:color w:val="auto"/>
                <w:sz w:val="20"/>
                <w:szCs w:val="20"/>
                <w:lang w:val="en-GB"/>
              </w:rPr>
              <w:t>1</w:t>
            </w:r>
            <w:r w:rsidR="003C7E8A" w:rsidRPr="00867711">
              <w:rPr>
                <w:b w:val="0"/>
                <w:color w:val="auto"/>
                <w:sz w:val="20"/>
                <w:szCs w:val="20"/>
                <w:lang w:val="en-GB"/>
              </w:rPr>
              <w:t>3</w:t>
            </w:r>
            <w:r w:rsidR="005F155C" w:rsidRPr="00867711">
              <w:rPr>
                <w:b w:val="0"/>
                <w:color w:val="auto"/>
                <w:sz w:val="20"/>
                <w:szCs w:val="20"/>
                <w:lang w:val="en-GB"/>
              </w:rPr>
              <w:t xml:space="preserve"> J</w:t>
            </w:r>
            <w:r w:rsidRPr="00867711">
              <w:rPr>
                <w:b w:val="0"/>
                <w:color w:val="auto"/>
                <w:sz w:val="20"/>
                <w:szCs w:val="20"/>
                <w:lang w:val="en-GB"/>
              </w:rPr>
              <w:t>uly</w:t>
            </w:r>
            <w:r w:rsidR="00805374" w:rsidRPr="00867711">
              <w:rPr>
                <w:b w:val="0"/>
                <w:color w:val="auto"/>
                <w:sz w:val="20"/>
                <w:szCs w:val="20"/>
                <w:lang w:val="en-GB"/>
              </w:rPr>
              <w:t xml:space="preserve"> 2026</w:t>
            </w:r>
          </w:p>
        </w:tc>
      </w:tr>
    </w:tbl>
    <w:p w14:paraId="7CCE4C25" w14:textId="146EBE3D" w:rsidR="004D7A14" w:rsidRPr="00867711" w:rsidRDefault="00D144C7" w:rsidP="004D7A14">
      <w:pPr>
        <w:spacing w:after="160" w:line="278" w:lineRule="auto"/>
        <w:jc w:val="center"/>
        <w:rPr>
          <w:b/>
          <w:bCs/>
          <w:sz w:val="28"/>
          <w:szCs w:val="28"/>
        </w:rPr>
      </w:pPr>
      <w:r w:rsidRPr="00867711">
        <w:rPr>
          <w:noProof/>
          <w:highlight w:val="yellow"/>
        </w:rPr>
        <w:drawing>
          <wp:anchor distT="0" distB="0" distL="114300" distR="114300" simplePos="0" relativeHeight="251660288" behindDoc="0" locked="0" layoutInCell="1" hidden="0" allowOverlap="1" wp14:anchorId="074E477B" wp14:editId="1D5BC921">
            <wp:simplePos x="0" y="0"/>
            <wp:positionH relativeFrom="margin">
              <wp:align>right</wp:align>
            </wp:positionH>
            <wp:positionV relativeFrom="paragraph">
              <wp:posOffset>-1816100</wp:posOffset>
            </wp:positionV>
            <wp:extent cx="1981200" cy="1003300"/>
            <wp:effectExtent l="0" t="0" r="0" b="0"/>
            <wp:wrapNone/>
            <wp:docPr id="1430543100" name="image1.png"/>
            <wp:cNvGraphicFramePr/>
            <a:graphic xmlns:a="http://schemas.openxmlformats.org/drawingml/2006/main">
              <a:graphicData uri="http://schemas.openxmlformats.org/drawingml/2006/picture">
                <pic:pic xmlns:pic="http://schemas.openxmlformats.org/drawingml/2006/picture">
                  <pic:nvPicPr>
                    <pic:cNvPr id="1430543100" name="image1.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1981200" cy="1003300"/>
                    </a:xfrm>
                    <a:prstGeom prst="rect">
                      <a:avLst/>
                    </a:prstGeom>
                    <a:ln/>
                  </pic:spPr>
                </pic:pic>
              </a:graphicData>
            </a:graphic>
            <wp14:sizeRelH relativeFrom="margin">
              <wp14:pctWidth>0</wp14:pctWidth>
            </wp14:sizeRelH>
            <wp14:sizeRelV relativeFrom="margin">
              <wp14:pctHeight>0</wp14:pctHeight>
            </wp14:sizeRelV>
          </wp:anchor>
        </w:drawing>
      </w:r>
      <w:r w:rsidR="004D7A14" w:rsidRPr="00867711">
        <w:rPr>
          <w:b/>
          <w:bCs/>
          <w:sz w:val="28"/>
          <w:szCs w:val="28"/>
        </w:rPr>
        <w:t xml:space="preserve">EIB </w:t>
      </w:r>
      <w:r w:rsidR="00B00CDC" w:rsidRPr="00867711">
        <w:rPr>
          <w:b/>
          <w:bCs/>
          <w:sz w:val="28"/>
          <w:szCs w:val="28"/>
        </w:rPr>
        <w:t>p</w:t>
      </w:r>
      <w:r w:rsidR="004D7A14" w:rsidRPr="00867711">
        <w:rPr>
          <w:b/>
          <w:bCs/>
          <w:sz w:val="28"/>
          <w:szCs w:val="28"/>
        </w:rPr>
        <w:t xml:space="preserve">rovides €450 million </w:t>
      </w:r>
      <w:r w:rsidR="00B00CDC" w:rsidRPr="00867711">
        <w:rPr>
          <w:b/>
          <w:bCs/>
          <w:sz w:val="28"/>
          <w:szCs w:val="28"/>
        </w:rPr>
        <w:t>f</w:t>
      </w:r>
      <w:r w:rsidR="004D7A14" w:rsidRPr="00867711">
        <w:rPr>
          <w:b/>
          <w:bCs/>
          <w:sz w:val="28"/>
          <w:szCs w:val="28"/>
        </w:rPr>
        <w:t xml:space="preserve">inancing for OMV’s </w:t>
      </w:r>
      <w:r w:rsidR="00900790" w:rsidRPr="00867711">
        <w:rPr>
          <w:b/>
          <w:bCs/>
          <w:sz w:val="28"/>
          <w:szCs w:val="28"/>
        </w:rPr>
        <w:t>f</w:t>
      </w:r>
      <w:r w:rsidR="004D7A14" w:rsidRPr="00867711">
        <w:rPr>
          <w:b/>
          <w:bCs/>
          <w:sz w:val="28"/>
          <w:szCs w:val="28"/>
        </w:rPr>
        <w:t xml:space="preserve">lagship </w:t>
      </w:r>
      <w:r w:rsidR="00900790" w:rsidRPr="00867711">
        <w:rPr>
          <w:b/>
          <w:bCs/>
          <w:sz w:val="28"/>
          <w:szCs w:val="28"/>
        </w:rPr>
        <w:t>g</w:t>
      </w:r>
      <w:r w:rsidR="004D7A14" w:rsidRPr="00867711">
        <w:rPr>
          <w:b/>
          <w:bCs/>
          <w:sz w:val="28"/>
          <w:szCs w:val="28"/>
        </w:rPr>
        <w:t xml:space="preserve">reen </w:t>
      </w:r>
      <w:r w:rsidR="00900790" w:rsidRPr="00867711">
        <w:rPr>
          <w:b/>
          <w:bCs/>
          <w:sz w:val="28"/>
          <w:szCs w:val="28"/>
        </w:rPr>
        <w:t>h</w:t>
      </w:r>
      <w:r w:rsidR="004D7A14" w:rsidRPr="00867711">
        <w:rPr>
          <w:b/>
          <w:bCs/>
          <w:sz w:val="28"/>
          <w:szCs w:val="28"/>
        </w:rPr>
        <w:t xml:space="preserve">ydrogen </w:t>
      </w:r>
      <w:r w:rsidR="00900790" w:rsidRPr="00867711">
        <w:rPr>
          <w:b/>
          <w:bCs/>
          <w:sz w:val="28"/>
          <w:szCs w:val="28"/>
        </w:rPr>
        <w:t>p</w:t>
      </w:r>
      <w:r w:rsidR="004D7A14" w:rsidRPr="00867711">
        <w:rPr>
          <w:b/>
          <w:bCs/>
          <w:sz w:val="28"/>
          <w:szCs w:val="28"/>
        </w:rPr>
        <w:t>roject</w:t>
      </w:r>
    </w:p>
    <w:p w14:paraId="2BD4026C" w14:textId="4AE9BD6B" w:rsidR="00C368BF" w:rsidRPr="00867711" w:rsidRDefault="00B00CDC" w:rsidP="00C368BF">
      <w:pPr>
        <w:pStyle w:val="EIBbullets"/>
        <w:rPr>
          <w:rFonts w:ascii="Aptos" w:eastAsiaTheme="minorHAnsi" w:hAnsi="Aptos" w:cs="Aptos"/>
          <w:color w:val="auto"/>
          <w:szCs w:val="24"/>
        </w:rPr>
      </w:pPr>
      <w:r w:rsidRPr="00867711">
        <w:t xml:space="preserve">Austrian integrated energy, fuels and chemicals company OMV </w:t>
      </w:r>
      <w:r w:rsidR="00D932E6" w:rsidRPr="00867711">
        <w:t xml:space="preserve">gets €450 </w:t>
      </w:r>
      <w:r w:rsidR="002A47DA" w:rsidRPr="00867711">
        <w:t xml:space="preserve">million </w:t>
      </w:r>
      <w:r w:rsidR="00D932E6" w:rsidRPr="00867711">
        <w:t xml:space="preserve">EIB loan </w:t>
      </w:r>
      <w:r w:rsidR="002A47DA" w:rsidRPr="00867711">
        <w:t xml:space="preserve">to build </w:t>
      </w:r>
      <w:r w:rsidR="00E2659E" w:rsidRPr="00867711">
        <w:t xml:space="preserve">major green hydrogen plant </w:t>
      </w:r>
      <w:r w:rsidR="002E56F0" w:rsidRPr="00867711">
        <w:t xml:space="preserve">in northeastern </w:t>
      </w:r>
      <w:r w:rsidR="00936908" w:rsidRPr="00867711">
        <w:t xml:space="preserve">town of </w:t>
      </w:r>
      <w:r w:rsidR="00936908" w:rsidRPr="00867711">
        <w:rPr>
          <w:rFonts w:eastAsia="Aptos"/>
          <w:szCs w:val="20"/>
        </w:rPr>
        <w:t>Bruck an der Leitha</w:t>
      </w:r>
      <w:r w:rsidR="00C368BF" w:rsidRPr="00867711">
        <w:t>.</w:t>
      </w:r>
    </w:p>
    <w:p w14:paraId="5968DE9C" w14:textId="4486EB36" w:rsidR="00D50BAA" w:rsidRPr="00D50BAA" w:rsidRDefault="00D50BAA" w:rsidP="00D50BAA">
      <w:pPr>
        <w:pStyle w:val="EIBbullets"/>
        <w:rPr>
          <w:rFonts w:eastAsiaTheme="minorHAnsi"/>
          <w:color w:val="auto"/>
          <w:szCs w:val="24"/>
        </w:rPr>
      </w:pPr>
      <w:r>
        <w:t>Green</w:t>
      </w:r>
      <w:r w:rsidRPr="00D50BAA">
        <w:t xml:space="preserve"> hydrogen will replace fossil-based hydrogen at OMV’s Schwechat refinery, cutting CO</w:t>
      </w:r>
      <w:r w:rsidRPr="00D50BAA">
        <w:rPr>
          <w:rFonts w:ascii="Cambria Math" w:hAnsi="Cambria Math" w:cs="Cambria Math"/>
        </w:rPr>
        <w:t>₂</w:t>
      </w:r>
      <w:r w:rsidRPr="00D50BAA">
        <w:t xml:space="preserve"> emissions by up to 150,000 tonnes per year.</w:t>
      </w:r>
    </w:p>
    <w:p w14:paraId="0A582B99" w14:textId="77777777" w:rsidR="003921CC" w:rsidRPr="003921CC" w:rsidRDefault="003921CC" w:rsidP="003921CC">
      <w:pPr>
        <w:pStyle w:val="EIBbullets"/>
        <w:rPr>
          <w:rFonts w:eastAsiaTheme="minorHAnsi"/>
          <w:color w:val="auto"/>
          <w:szCs w:val="24"/>
        </w:rPr>
      </w:pPr>
      <w:r w:rsidRPr="00D50BAA">
        <w:rPr>
          <w:bCs/>
        </w:rPr>
        <w:t>Largest-ever EIB financing in Austria’s energy sector</w:t>
      </w:r>
      <w:r w:rsidRPr="003921CC">
        <w:t xml:space="preserve">, supporting Europe’s clean industrial transition through the EIB’s </w:t>
      </w:r>
      <w:r w:rsidRPr="003921CC">
        <w:rPr>
          <w:bCs/>
        </w:rPr>
        <w:t>TechEU</w:t>
      </w:r>
      <w:r w:rsidRPr="003921CC">
        <w:t xml:space="preserve"> initiative.</w:t>
      </w:r>
    </w:p>
    <w:p w14:paraId="7419AB64" w14:textId="77777777" w:rsidR="003921CC" w:rsidRPr="003921CC" w:rsidRDefault="003921CC" w:rsidP="003921CC">
      <w:pPr>
        <w:pStyle w:val="EIBbullets"/>
        <w:numPr>
          <w:ilvl w:val="0"/>
          <w:numId w:val="0"/>
        </w:numPr>
        <w:ind w:left="720"/>
        <w:rPr>
          <w:rFonts w:asciiTheme="minorHAnsi" w:eastAsiaTheme="minorHAnsi" w:hAnsiTheme="minorHAnsi" w:cstheme="minorBidi"/>
          <w:color w:val="auto"/>
          <w:szCs w:val="22"/>
        </w:rPr>
      </w:pPr>
    </w:p>
    <w:p w14:paraId="0433B2E0" w14:textId="315DB1FD" w:rsidR="003921CC" w:rsidRPr="003921CC" w:rsidRDefault="003921CC" w:rsidP="003921CC">
      <w:pPr>
        <w:spacing w:after="0" w:line="240" w:lineRule="auto"/>
        <w:jc w:val="both"/>
        <w:rPr>
          <w:rFonts w:eastAsia="Aptos"/>
          <w:color w:val="000000"/>
          <w:szCs w:val="20"/>
        </w:rPr>
      </w:pPr>
      <w:r w:rsidRPr="003921CC">
        <w:rPr>
          <w:rFonts w:eastAsia="Aptos"/>
          <w:color w:val="000000"/>
          <w:szCs w:val="20"/>
        </w:rPr>
        <w:t xml:space="preserve">The European Investment Bank (EIB) is providing €450 million to Austrian integrated energy, fuels and chemicals company OMV to build a large-scale green hydrogen production facility </w:t>
      </w:r>
      <w:r>
        <w:rPr>
          <w:rFonts w:eastAsia="Aptos"/>
          <w:color w:val="000000"/>
          <w:szCs w:val="20"/>
        </w:rPr>
        <w:t xml:space="preserve">in Bruck an der Leitha </w:t>
      </w:r>
      <w:r w:rsidRPr="003921CC">
        <w:rPr>
          <w:rFonts w:eastAsia="Aptos"/>
          <w:color w:val="000000"/>
          <w:szCs w:val="20"/>
        </w:rPr>
        <w:t>in Lower Austria, supporting industrial decarbonisation, Europe’s clean technology leadership and a more secure energy system.</w:t>
      </w:r>
      <w:r>
        <w:rPr>
          <w:rFonts w:eastAsia="Aptos"/>
          <w:color w:val="000000"/>
          <w:szCs w:val="20"/>
        </w:rPr>
        <w:t xml:space="preserve"> </w:t>
      </w:r>
      <w:r w:rsidRPr="003921CC">
        <w:rPr>
          <w:rFonts w:eastAsia="Aptos"/>
          <w:color w:val="000000"/>
          <w:szCs w:val="20"/>
        </w:rPr>
        <w:t xml:space="preserve">The loan represents the EIB’s largest-ever investment in Austria’s energy sector and covers nearly three-quarters of the projected €600 million investment cost. The green hydrogen plant is already under construction and is expected to commence operations by the end of 2027. </w:t>
      </w:r>
    </w:p>
    <w:p w14:paraId="53E9B346" w14:textId="1B287B38" w:rsidR="003921CC" w:rsidRPr="003921CC" w:rsidRDefault="003921CC" w:rsidP="003921CC">
      <w:pPr>
        <w:spacing w:after="0" w:line="240" w:lineRule="auto"/>
        <w:jc w:val="both"/>
        <w:rPr>
          <w:rFonts w:eastAsia="Aptos"/>
          <w:color w:val="000000"/>
          <w:szCs w:val="20"/>
        </w:rPr>
      </w:pPr>
      <w:r w:rsidRPr="00867711">
        <w:rPr>
          <w:rFonts w:eastAsia="Aptos" w:cs="Arial"/>
          <w:color w:val="000000"/>
          <w:szCs w:val="20"/>
        </w:rPr>
        <w:t xml:space="preserve">The plant </w:t>
      </w:r>
      <w:r w:rsidRPr="003921CC">
        <w:rPr>
          <w:rFonts w:eastAsia="Aptos"/>
          <w:color w:val="000000"/>
          <w:szCs w:val="20"/>
        </w:rPr>
        <w:t>will feature a 140 MW electrolyser powered by renewable electricity. Once operational, it will produce up to 23,000 tonnes of renewable hydrogen annually, making it the largest facility of its kind in Austria and among the five largest in Europe.</w:t>
      </w:r>
    </w:p>
    <w:p w14:paraId="3792B4E3" w14:textId="77777777" w:rsidR="003921CC" w:rsidRDefault="003921CC" w:rsidP="003921CC">
      <w:pPr>
        <w:spacing w:after="0" w:line="240" w:lineRule="auto"/>
        <w:jc w:val="both"/>
        <w:rPr>
          <w:rFonts w:eastAsia="Aptos"/>
          <w:color w:val="000000"/>
          <w:szCs w:val="20"/>
        </w:rPr>
      </w:pPr>
      <w:r w:rsidRPr="003921CC">
        <w:rPr>
          <w:rFonts w:eastAsia="Aptos"/>
          <w:color w:val="000000"/>
          <w:szCs w:val="20"/>
        </w:rPr>
        <w:t>Renewable hydrogen will be transported through a 22-kilometre pipeline to OMV’s Schwechat refinery, where it will progressively replace fossil-based hydrogen used in refining processes. The investment is expected to reduce the refinery’s direct CO</w:t>
      </w:r>
      <w:r w:rsidRPr="003921CC">
        <w:rPr>
          <w:rFonts w:ascii="Cambria Math" w:eastAsia="Aptos" w:hAnsi="Cambria Math" w:cs="Cambria Math"/>
          <w:color w:val="000000"/>
          <w:szCs w:val="20"/>
        </w:rPr>
        <w:t>₂</w:t>
      </w:r>
      <w:r w:rsidRPr="003921CC">
        <w:rPr>
          <w:rFonts w:eastAsia="Aptos"/>
          <w:color w:val="000000"/>
          <w:szCs w:val="20"/>
        </w:rPr>
        <w:t xml:space="preserve"> emissions by up to 150,000 tonnes annually</w:t>
      </w:r>
      <w:r w:rsidRPr="003921CC">
        <w:rPr>
          <w:rFonts w:eastAsia="Aptos" w:cs="Arial"/>
          <w:color w:val="000000"/>
          <w:szCs w:val="20"/>
        </w:rPr>
        <w:t>—</w:t>
      </w:r>
      <w:r w:rsidRPr="003921CC">
        <w:rPr>
          <w:rFonts w:eastAsia="Aptos"/>
          <w:color w:val="000000"/>
          <w:szCs w:val="20"/>
        </w:rPr>
        <w:t>around 10% of current direct emissions</w:t>
      </w:r>
      <w:r w:rsidRPr="003921CC">
        <w:rPr>
          <w:rFonts w:eastAsia="Aptos" w:cs="Arial"/>
          <w:color w:val="000000"/>
          <w:szCs w:val="20"/>
        </w:rPr>
        <w:t>—</w:t>
      </w:r>
      <w:r w:rsidRPr="003921CC">
        <w:rPr>
          <w:rFonts w:eastAsia="Aptos"/>
          <w:color w:val="000000"/>
          <w:szCs w:val="20"/>
        </w:rPr>
        <w:t>and create the basis for future production of sustainable aviation fuels and other low-carbon products.</w:t>
      </w:r>
    </w:p>
    <w:p w14:paraId="7F4DFF2A" w14:textId="77777777" w:rsidR="003921CC" w:rsidRDefault="003921CC" w:rsidP="003921CC">
      <w:pPr>
        <w:spacing w:after="0" w:line="240" w:lineRule="auto"/>
        <w:jc w:val="both"/>
        <w:rPr>
          <w:rFonts w:eastAsia="Aptos" w:cs="Arial"/>
          <w:color w:val="000000"/>
          <w:szCs w:val="20"/>
        </w:rPr>
      </w:pPr>
      <w:r w:rsidRPr="00D50BAA">
        <w:rPr>
          <w:rFonts w:eastAsia="Aptos" w:cs="Arial"/>
          <w:color w:val="000000"/>
          <w:szCs w:val="20"/>
        </w:rPr>
        <w:t xml:space="preserve">“Green hydrogen is a cornerstone of Europe’s transition to a competitive, climate-neutral and secure energy system,” said </w:t>
      </w:r>
      <w:r w:rsidRPr="00D50BAA">
        <w:rPr>
          <w:rFonts w:eastAsia="Aptos" w:cs="Arial"/>
          <w:b/>
          <w:bCs/>
          <w:color w:val="000000"/>
          <w:szCs w:val="20"/>
        </w:rPr>
        <w:t xml:space="preserve">EIB Vice-President Karl Nehammer </w:t>
      </w:r>
      <w:r w:rsidRPr="00D50BAA">
        <w:rPr>
          <w:rFonts w:eastAsia="Aptos" w:cs="Arial"/>
          <w:color w:val="000000"/>
          <w:szCs w:val="20"/>
        </w:rPr>
        <w:t>during the site visit. “By supporting green hydrogen production at industrial scale, we are strengthening Europe’s competitiveness, reinforcing our energy security and helping decarbonise refining by replacing fossil-based hydrogen with renewable hydrogen. This investment also lays the foundation for the future production of sustainable aviation fuels, supporting the EU’s climate and energy security objectives.”</w:t>
      </w:r>
    </w:p>
    <w:p w14:paraId="0F1EE939" w14:textId="77777777" w:rsidR="00D50BAA" w:rsidRPr="00867711" w:rsidRDefault="00D50BAA" w:rsidP="003921CC">
      <w:pPr>
        <w:spacing w:after="0" w:line="240" w:lineRule="auto"/>
        <w:jc w:val="both"/>
        <w:rPr>
          <w:rFonts w:eastAsia="Aptos" w:cs="Arial"/>
          <w:color w:val="000000"/>
          <w:szCs w:val="20"/>
        </w:rPr>
      </w:pPr>
    </w:p>
    <w:p w14:paraId="1D05B719" w14:textId="2C93CBE2" w:rsidR="003921CC" w:rsidRDefault="003921CC" w:rsidP="003921CC">
      <w:pPr>
        <w:spacing w:after="0" w:line="240" w:lineRule="auto"/>
        <w:jc w:val="both"/>
        <w:rPr>
          <w:rFonts w:eastAsia="Aptos"/>
          <w:color w:val="000000"/>
          <w:szCs w:val="20"/>
        </w:rPr>
      </w:pPr>
      <w:r w:rsidRPr="003921CC">
        <w:rPr>
          <w:rFonts w:eastAsia="Aptos"/>
          <w:color w:val="000000"/>
          <w:szCs w:val="20"/>
        </w:rPr>
        <w:t>The operation reinforces the EIB’s role as the EU Climate Bank by financing strategic infrastructure that accelerates the deployment of renewable hydrogen at industrial scale. It also advances the EIB’s TechEU initiative by strengthening Europe’s electrolysis value chain and contributes to the objectives of the European Green Deal and REPowerEU.</w:t>
      </w:r>
    </w:p>
    <w:p w14:paraId="774C061F" w14:textId="77777777" w:rsidR="003921CC" w:rsidRPr="003921CC" w:rsidRDefault="003921CC" w:rsidP="003921CC">
      <w:pPr>
        <w:spacing w:after="0" w:line="240" w:lineRule="auto"/>
        <w:jc w:val="both"/>
        <w:rPr>
          <w:rFonts w:eastAsia="Aptos"/>
          <w:color w:val="000000"/>
          <w:szCs w:val="20"/>
        </w:rPr>
      </w:pPr>
    </w:p>
    <w:p w14:paraId="2B004B31" w14:textId="77777777" w:rsidR="003921CC" w:rsidRDefault="003921CC" w:rsidP="003921CC">
      <w:pPr>
        <w:spacing w:after="0" w:line="240" w:lineRule="auto"/>
        <w:jc w:val="both"/>
        <w:rPr>
          <w:rFonts w:eastAsia="Aptos"/>
          <w:color w:val="000000"/>
          <w:szCs w:val="20"/>
        </w:rPr>
      </w:pPr>
      <w:r w:rsidRPr="00867711">
        <w:rPr>
          <w:rFonts w:eastAsia="Aptos"/>
          <w:color w:val="000000"/>
          <w:szCs w:val="20"/>
        </w:rPr>
        <w:t xml:space="preserve">“The European Investment Bank’s loan commitment is a strong signal of confidence in OMV’s transformation strategy and our ability to deliver large-scale projects that drive industrial decarbonisation,” said </w:t>
      </w:r>
      <w:r w:rsidRPr="00867711">
        <w:rPr>
          <w:rFonts w:eastAsia="Aptos"/>
          <w:b/>
          <w:bCs/>
          <w:color w:val="000000"/>
          <w:szCs w:val="20"/>
        </w:rPr>
        <w:t>Deputy Chairman of the Executive Board of OMV Aktiengesellschaft and Chief Financial Officer Reinhard Florey</w:t>
      </w:r>
      <w:r w:rsidRPr="00867711">
        <w:rPr>
          <w:rFonts w:eastAsia="Aptos"/>
          <w:color w:val="000000"/>
          <w:szCs w:val="20"/>
        </w:rPr>
        <w:t xml:space="preserve">. “This investment is of strategic importance for both Austria and Europe. By producing green hydrogen in Austria, we are strengthening Europe’s energy value chain, enhancing energy security, and contributing to a more sustainable energy system. The </w:t>
      </w:r>
      <w:r w:rsidRPr="00867711">
        <w:rPr>
          <w:rFonts w:eastAsia="Aptos"/>
          <w:color w:val="000000"/>
          <w:szCs w:val="20"/>
        </w:rPr>
        <w:lastRenderedPageBreak/>
        <w:t>construction of one of Europe’s largest green hydrogen plants marks a major milestone in the decarbonisation of our industrial processes. Once operational, the facility will make a significant contribution to reducing CO</w:t>
      </w:r>
      <w:r w:rsidRPr="00867711">
        <w:rPr>
          <w:rFonts w:ascii="Cambria Math" w:eastAsia="Aptos" w:hAnsi="Cambria Math" w:cs="Cambria Math"/>
          <w:color w:val="000000"/>
          <w:szCs w:val="20"/>
        </w:rPr>
        <w:t>₂</w:t>
      </w:r>
      <w:r w:rsidRPr="00867711">
        <w:rPr>
          <w:rFonts w:eastAsia="Aptos"/>
          <w:color w:val="000000"/>
          <w:szCs w:val="20"/>
        </w:rPr>
        <w:t xml:space="preserve"> emissions at our Schwechat refinery and underscores our ambition to actively shape the energy transition in Austria and across Europe.”</w:t>
      </w:r>
    </w:p>
    <w:p w14:paraId="13E8F37C" w14:textId="77777777" w:rsidR="003921CC" w:rsidRDefault="003921CC" w:rsidP="003921CC">
      <w:pPr>
        <w:spacing w:after="0" w:line="240" w:lineRule="auto"/>
        <w:jc w:val="both"/>
        <w:rPr>
          <w:rFonts w:eastAsia="Aptos"/>
          <w:color w:val="000000"/>
          <w:szCs w:val="20"/>
        </w:rPr>
      </w:pPr>
    </w:p>
    <w:p w14:paraId="1419A307" w14:textId="1FCDE4D2" w:rsidR="003921CC" w:rsidRPr="00867711" w:rsidRDefault="003921CC" w:rsidP="00EA6F32">
      <w:pPr>
        <w:spacing w:after="0" w:line="240" w:lineRule="auto"/>
        <w:jc w:val="both"/>
        <w:rPr>
          <w:rFonts w:eastAsia="Aptos"/>
          <w:color w:val="000000"/>
          <w:szCs w:val="20"/>
        </w:rPr>
      </w:pPr>
      <w:r w:rsidRPr="003921CC">
        <w:rPr>
          <w:rFonts w:eastAsia="Aptos"/>
          <w:color w:val="000000"/>
          <w:szCs w:val="20"/>
        </w:rPr>
        <w:t>Under its Strategy 2030, OMV is expanding renewable hydrogen and renewable fuels production as part of its pathway towards net-zero emissions by 2050. The EIB-financed project in Bruck an der Leitha is expected to become a cornerstone of this transition by replacing fossil-based hydrogen with renewable hydrogen in refinery operations.</w:t>
      </w:r>
    </w:p>
    <w:p w14:paraId="45C1085C" w14:textId="6808C490" w:rsidR="00805374" w:rsidRPr="00AF611F" w:rsidRDefault="00805374" w:rsidP="00805374">
      <w:pPr>
        <w:autoSpaceDN w:val="0"/>
        <w:spacing w:before="100" w:beforeAutospacing="1" w:after="100" w:afterAutospacing="1" w:line="240" w:lineRule="auto"/>
        <w:jc w:val="both"/>
        <w:rPr>
          <w:rFonts w:ascii="Cambria Math" w:eastAsia="Aptos" w:hAnsi="Cambria Math" w:cs="Cambria Math"/>
          <w:b/>
          <w:bCs/>
          <w:color w:val="000000"/>
          <w:sz w:val="22"/>
          <w:szCs w:val="22"/>
          <w:lang w:eastAsia="es-ES"/>
        </w:rPr>
      </w:pPr>
      <w:r w:rsidRPr="00AF611F">
        <w:rPr>
          <w:rFonts w:eastAsia="Aptos" w:cs="Arial"/>
          <w:b/>
          <w:bCs/>
          <w:color w:val="000000"/>
          <w:sz w:val="22"/>
          <w:szCs w:val="22"/>
          <w:lang w:eastAsia="es-ES"/>
        </w:rPr>
        <w:t>Background information</w:t>
      </w:r>
      <w:r w:rsidRPr="00AF611F">
        <w:rPr>
          <w:rFonts w:ascii="Cambria Math" w:eastAsia="Aptos" w:hAnsi="Cambria Math" w:cs="Cambria Math"/>
          <w:b/>
          <w:bCs/>
          <w:color w:val="000000"/>
          <w:sz w:val="22"/>
          <w:szCs w:val="22"/>
          <w:lang w:eastAsia="es-ES"/>
        </w:rPr>
        <w:t>  </w:t>
      </w:r>
    </w:p>
    <w:p w14:paraId="1DA4803A" w14:textId="584447DD" w:rsidR="007111AC" w:rsidRPr="00867711" w:rsidRDefault="007111AC" w:rsidP="007111AC">
      <w:pPr>
        <w:spacing w:before="240"/>
      </w:pPr>
      <w:r w:rsidRPr="00867711">
        <w:rPr>
          <w:b/>
          <w:bCs/>
        </w:rPr>
        <w:t>EIB</w:t>
      </w:r>
      <w:r w:rsidRPr="00867711">
        <w:rPr>
          <w:rFonts w:cs="Arial"/>
          <w:b/>
          <w:bCs/>
        </w:rPr>
        <w:t> Group </w:t>
      </w:r>
      <w:r w:rsidRPr="00867711">
        <w:t> </w:t>
      </w:r>
    </w:p>
    <w:p w14:paraId="4AD80391" w14:textId="77777777" w:rsidR="007111AC" w:rsidRPr="00867711" w:rsidRDefault="007111AC" w:rsidP="009C0098">
      <w:pPr>
        <w:spacing w:before="240" w:line="240" w:lineRule="auto"/>
        <w:jc w:val="both"/>
        <w:rPr>
          <w:rFonts w:eastAsia="Aptos" w:cs="Arial"/>
          <w:color w:val="000000"/>
          <w:szCs w:val="20"/>
        </w:rPr>
      </w:pPr>
      <w:r w:rsidRPr="00867711">
        <w:rPr>
          <w:rFonts w:eastAsia="Aptos" w:cs="Arial"/>
          <w:color w:val="000000"/>
          <w:szCs w:val="20"/>
        </w:rPr>
        <w:t>The European Investment Bank (</w:t>
      </w:r>
      <w:hyperlink r:id="rId12">
        <w:r w:rsidRPr="00867711">
          <w:rPr>
            <w:color w:val="000000"/>
            <w:szCs w:val="20"/>
          </w:rPr>
          <w:t>ElB</w:t>
        </w:r>
      </w:hyperlink>
      <w:r w:rsidRPr="00867711">
        <w:rPr>
          <w:rFonts w:eastAsia="Aptos" w:cs="Arial"/>
          <w:color w:val="000000"/>
          <w:szCs w:val="20"/>
        </w:rPr>
        <w:t xml:space="preserve">) Group is the financing arm of the European Union, owned by the 27 Member States, and one of the largest multilateral development banks in the world. In 2025, the EIB Group signed €100 billion of new financing and advisory services for over 870 </w:t>
      </w:r>
      <w:hyperlink r:id="rId13">
        <w:r w:rsidRPr="00867711">
          <w:rPr>
            <w:color w:val="000000"/>
            <w:szCs w:val="20"/>
          </w:rPr>
          <w:t>high</w:t>
        </w:r>
      </w:hyperlink>
      <w:hyperlink r:id="rId14">
        <w:r w:rsidRPr="00867711">
          <w:rPr>
            <w:color w:val="000000"/>
            <w:szCs w:val="20"/>
          </w:rPr>
          <w:t>-impact projects</w:t>
        </w:r>
      </w:hyperlink>
      <w:r w:rsidRPr="00867711">
        <w:rPr>
          <w:rFonts w:eastAsia="Aptos" w:cs="Arial"/>
          <w:color w:val="000000"/>
          <w:szCs w:val="20"/>
        </w:rPr>
        <w:t xml:space="preserve"> in </w:t>
      </w:r>
      <w:hyperlink r:id="rId15">
        <w:r w:rsidRPr="00867711">
          <w:rPr>
            <w:color w:val="000000"/>
            <w:szCs w:val="20"/>
          </w:rPr>
          <w:t>eight core priorities</w:t>
        </w:r>
      </w:hyperlink>
      <w:r w:rsidRPr="00867711">
        <w:rPr>
          <w:rFonts w:eastAsia="Aptos" w:cs="Arial"/>
          <w:color w:val="000000"/>
          <w:szCs w:val="20"/>
        </w:rPr>
        <w:t xml:space="preserve"> that support EU </w:t>
      </w:r>
      <w:hyperlink r:id="rId16">
        <w:r w:rsidRPr="00867711">
          <w:rPr>
            <w:color w:val="000000"/>
            <w:szCs w:val="20"/>
          </w:rPr>
          <w:t>policy objectives</w:t>
        </w:r>
      </w:hyperlink>
      <w:r w:rsidRPr="00867711">
        <w:rPr>
          <w:rFonts w:eastAsia="Aptos" w:cs="Arial"/>
          <w:color w:val="000000"/>
          <w:szCs w:val="20"/>
        </w:rPr>
        <w:t>: climate action and the environment, digitalisation and technological innovation, security and defence, territorial cohesion, agriculture and the bioeconomy, social infrastructure, strong global partnerships and the savings and investment union. Beyond long-term loans for large infrastructures, the EIB Group crowds-in private investment for high-risk innovative projects and businesses, with a growing role in Europe’s markets for venture debt, venture capital, guarantees and securitisations.</w:t>
      </w:r>
    </w:p>
    <w:p w14:paraId="5C0DAAFD" w14:textId="77777777" w:rsidR="007111AC" w:rsidRPr="00867711" w:rsidRDefault="007111AC" w:rsidP="009C0098">
      <w:pPr>
        <w:spacing w:before="240" w:line="240" w:lineRule="auto"/>
        <w:jc w:val="both"/>
        <w:rPr>
          <w:rFonts w:eastAsia="Aptos" w:cs="Arial"/>
          <w:color w:val="000000"/>
          <w:szCs w:val="20"/>
        </w:rPr>
      </w:pPr>
      <w:r w:rsidRPr="00867711">
        <w:rPr>
          <w:rFonts w:eastAsia="Aptos" w:cs="Arial"/>
          <w:color w:val="000000"/>
          <w:szCs w:val="20"/>
        </w:rPr>
        <w:t>The European Investment Fund (</w:t>
      </w:r>
      <w:hyperlink r:id="rId17">
        <w:r w:rsidRPr="00867711">
          <w:rPr>
            <w:color w:val="000000"/>
            <w:szCs w:val="20"/>
          </w:rPr>
          <w:t>EIF</w:t>
        </w:r>
      </w:hyperlink>
      <w:r w:rsidRPr="00867711">
        <w:rPr>
          <w:rFonts w:eastAsia="Aptos" w:cs="Arial"/>
          <w:color w:val="000000"/>
          <w:szCs w:val="20"/>
        </w:rPr>
        <w:t>) is the subsidiary of the EIB Group specialised in providing guarantees and equity to improve access to finance for small and medium size businesses and startups across Europe. Acting as an anchor investor, through its extensive network of partnering banks and investment funds, the EIF mobilizes private investment and nurtures the ecosystem of venture capital funds to support innovative European entrepreneurs.</w:t>
      </w:r>
    </w:p>
    <w:p w14:paraId="13659989" w14:textId="77777777" w:rsidR="007111AC" w:rsidRPr="00867711" w:rsidRDefault="007111AC" w:rsidP="009C0098">
      <w:pPr>
        <w:spacing w:before="240" w:line="240" w:lineRule="auto"/>
        <w:jc w:val="both"/>
        <w:rPr>
          <w:rFonts w:eastAsia="Aptos" w:cs="Arial"/>
          <w:color w:val="000000"/>
          <w:szCs w:val="20"/>
        </w:rPr>
      </w:pPr>
      <w:r w:rsidRPr="00867711">
        <w:rPr>
          <w:rFonts w:eastAsia="Aptos" w:cs="Arial"/>
          <w:color w:val="000000"/>
          <w:szCs w:val="20"/>
        </w:rPr>
        <w:t>In 2023, the EIF together with six member states (France, Germany, Italy, Spain, Belgium and the Netherlands) launched the European Tech Champions Initiative, a fund of funds to scale-up innovative startups. This initiative has already enabled the creation of 12 European venture capital mega-funds and scaled up 38 companies, including 11 unicorns (with more than €1 billion in capital).</w:t>
      </w:r>
    </w:p>
    <w:p w14:paraId="3E960E04" w14:textId="3FEA01B2" w:rsidR="007111AC" w:rsidRDefault="007111AC" w:rsidP="009C0098">
      <w:pPr>
        <w:spacing w:before="240" w:line="240" w:lineRule="auto"/>
        <w:jc w:val="both"/>
        <w:rPr>
          <w:rFonts w:eastAsia="Aptos" w:cs="Arial"/>
          <w:color w:val="000000"/>
          <w:szCs w:val="20"/>
        </w:rPr>
      </w:pPr>
      <w:r w:rsidRPr="00867711">
        <w:rPr>
          <w:rFonts w:eastAsia="Aptos" w:cs="Arial"/>
          <w:color w:val="000000"/>
          <w:szCs w:val="20"/>
        </w:rPr>
        <w:t xml:space="preserve">Photos of the EIB Group's spokespeople and headquarters, logo files and video B-roll for media use are available </w:t>
      </w:r>
      <w:hyperlink r:id="rId18">
        <w:r w:rsidRPr="00867711">
          <w:rPr>
            <w:rFonts w:eastAsia="Aptos" w:cs="Arial"/>
            <w:color w:val="000000"/>
            <w:szCs w:val="20"/>
          </w:rPr>
          <w:t>here</w:t>
        </w:r>
      </w:hyperlink>
      <w:r w:rsidRPr="00867711">
        <w:rPr>
          <w:rFonts w:eastAsia="Aptos" w:cs="Arial"/>
          <w:color w:val="000000"/>
          <w:szCs w:val="20"/>
        </w:rPr>
        <w:t>.</w:t>
      </w:r>
    </w:p>
    <w:p w14:paraId="0EED47D9" w14:textId="77777777" w:rsidR="00AF611F" w:rsidRPr="00867711" w:rsidRDefault="00AF611F" w:rsidP="009C0098">
      <w:pPr>
        <w:spacing w:before="240" w:line="240" w:lineRule="auto"/>
        <w:jc w:val="both"/>
        <w:rPr>
          <w:rFonts w:eastAsia="Aptos" w:cs="Arial"/>
          <w:color w:val="000000"/>
          <w:szCs w:val="20"/>
        </w:rPr>
      </w:pPr>
    </w:p>
    <w:p w14:paraId="0214AFDC" w14:textId="77777777" w:rsidR="00805374" w:rsidRPr="00AF611F" w:rsidRDefault="00805374" w:rsidP="00805374">
      <w:pPr>
        <w:autoSpaceDN w:val="0"/>
        <w:spacing w:before="0" w:after="0" w:line="240" w:lineRule="auto"/>
        <w:jc w:val="both"/>
        <w:rPr>
          <w:rFonts w:eastAsia="Aptos" w:cs="Arial"/>
          <w:color w:val="000000"/>
          <w:sz w:val="22"/>
          <w:szCs w:val="22"/>
        </w:rPr>
      </w:pPr>
      <w:r w:rsidRPr="00AF611F">
        <w:rPr>
          <w:rFonts w:eastAsia="Aptos" w:cs="Arial"/>
          <w:b/>
          <w:bCs/>
          <w:color w:val="000000"/>
          <w:sz w:val="22"/>
          <w:szCs w:val="22"/>
        </w:rPr>
        <w:t>Press contacts</w:t>
      </w:r>
    </w:p>
    <w:p w14:paraId="6EAB3F25" w14:textId="21C20643" w:rsidR="00805374" w:rsidRPr="00867711" w:rsidRDefault="00805374" w:rsidP="00805374">
      <w:pPr>
        <w:autoSpaceDN w:val="0"/>
        <w:spacing w:before="0" w:after="0" w:line="240" w:lineRule="auto"/>
        <w:jc w:val="both"/>
        <w:rPr>
          <w:rFonts w:eastAsia="Aptos" w:cs="Arial"/>
          <w:color w:val="000000"/>
          <w:szCs w:val="20"/>
        </w:rPr>
      </w:pPr>
    </w:p>
    <w:p w14:paraId="3AA25F70" w14:textId="77777777" w:rsidR="00805374" w:rsidRPr="00867711" w:rsidRDefault="00805374" w:rsidP="00805374">
      <w:pPr>
        <w:autoSpaceDN w:val="0"/>
        <w:spacing w:before="0" w:after="0" w:line="240" w:lineRule="auto"/>
        <w:jc w:val="both"/>
        <w:rPr>
          <w:rFonts w:eastAsia="Aptos" w:cs="Arial"/>
          <w:color w:val="000000"/>
          <w:szCs w:val="20"/>
        </w:rPr>
      </w:pPr>
      <w:r w:rsidRPr="00867711">
        <w:rPr>
          <w:rFonts w:eastAsia="Aptos" w:cs="Arial"/>
          <w:b/>
          <w:bCs/>
          <w:color w:val="333333"/>
          <w:szCs w:val="20"/>
        </w:rPr>
        <w:t xml:space="preserve">Clara Wanjek-Bauer </w:t>
      </w:r>
      <w:r w:rsidRPr="00867711">
        <w:rPr>
          <w:rFonts w:eastAsia="Aptos" w:cs="Arial"/>
          <w:color w:val="333333"/>
          <w:szCs w:val="20"/>
        </w:rPr>
        <w:t xml:space="preserve">| </w:t>
      </w:r>
      <w:hyperlink r:id="rId19" w:history="1">
        <w:r w:rsidRPr="00867711">
          <w:rPr>
            <w:rStyle w:val="Hyperlink"/>
            <w:rFonts w:eastAsia="Aptos" w:cs="Arial"/>
            <w:szCs w:val="20"/>
          </w:rPr>
          <w:t>c.wanjek-bauer@ext.eib.org</w:t>
        </w:r>
      </w:hyperlink>
      <w:r w:rsidRPr="00867711">
        <w:rPr>
          <w:rFonts w:eastAsia="Aptos" w:cs="Arial"/>
          <w:color w:val="000000"/>
          <w:szCs w:val="20"/>
        </w:rPr>
        <w:t xml:space="preserve"> </w:t>
      </w:r>
      <w:r w:rsidRPr="00867711">
        <w:rPr>
          <w:rFonts w:eastAsia="Aptos" w:cs="Arial"/>
          <w:color w:val="333333"/>
          <w:szCs w:val="20"/>
        </w:rPr>
        <w:t xml:space="preserve">| mob.: +43 664 5608656 </w:t>
      </w:r>
    </w:p>
    <w:p w14:paraId="023412F3" w14:textId="77777777" w:rsidR="00805374" w:rsidRPr="00867711" w:rsidRDefault="00805374" w:rsidP="00805374">
      <w:pPr>
        <w:autoSpaceDN w:val="0"/>
        <w:spacing w:before="0" w:after="0" w:line="240" w:lineRule="auto"/>
        <w:jc w:val="both"/>
        <w:rPr>
          <w:rFonts w:eastAsia="Aptos" w:cs="Arial"/>
          <w:color w:val="000000"/>
          <w:szCs w:val="20"/>
        </w:rPr>
      </w:pPr>
      <w:r w:rsidRPr="00867711">
        <w:rPr>
          <w:rFonts w:eastAsia="Aptos" w:cs="Arial"/>
          <w:color w:val="000000"/>
          <w:szCs w:val="20"/>
        </w:rPr>
        <w:t xml:space="preserve">Website: </w:t>
      </w:r>
      <w:hyperlink r:id="rId20" w:history="1">
        <w:r w:rsidRPr="00867711">
          <w:rPr>
            <w:rFonts w:eastAsia="Aptos" w:cs="Arial"/>
            <w:color w:val="467886"/>
            <w:szCs w:val="20"/>
            <w:u w:val="single"/>
          </w:rPr>
          <w:t>www.eib.org/press</w:t>
        </w:r>
      </w:hyperlink>
      <w:r w:rsidRPr="00867711">
        <w:rPr>
          <w:rFonts w:eastAsia="Aptos" w:cs="Arial"/>
          <w:color w:val="000000"/>
          <w:szCs w:val="20"/>
          <w:lang w:eastAsia="en-GB"/>
        </w:rPr>
        <w:t xml:space="preserve"> </w:t>
      </w:r>
      <w:r w:rsidRPr="00867711">
        <w:rPr>
          <w:rFonts w:eastAsia="Aptos" w:cs="Arial"/>
          <w:color w:val="000000"/>
          <w:szCs w:val="20"/>
        </w:rPr>
        <w:t xml:space="preserve">| Press Office: </w:t>
      </w:r>
      <w:hyperlink r:id="rId21" w:history="1">
        <w:r w:rsidRPr="00867711">
          <w:rPr>
            <w:rFonts w:eastAsia="Aptos" w:cs="Arial"/>
            <w:color w:val="467886"/>
            <w:szCs w:val="20"/>
            <w:u w:val="single"/>
          </w:rPr>
          <w:t>press@eib.org</w:t>
        </w:r>
      </w:hyperlink>
      <w:r w:rsidRPr="00867711">
        <w:rPr>
          <w:rFonts w:eastAsia="Aptos" w:cs="Arial"/>
          <w:color w:val="000000"/>
          <w:szCs w:val="20"/>
          <w:lang w:eastAsia="en-GB"/>
        </w:rPr>
        <w:t xml:space="preserve"> </w:t>
      </w:r>
    </w:p>
    <w:p w14:paraId="6487A912" w14:textId="0C5486BF" w:rsidR="007111AC" w:rsidRPr="00867711" w:rsidRDefault="00805374" w:rsidP="007111AC">
      <w:pPr>
        <w:spacing w:after="160" w:line="278" w:lineRule="auto"/>
        <w:rPr>
          <w:rFonts w:eastAsia="Aptos" w:cs="Arial"/>
          <w:color w:val="000000"/>
          <w:szCs w:val="20"/>
        </w:rPr>
      </w:pPr>
      <w:r w:rsidRPr="00867711">
        <w:rPr>
          <w:rFonts w:eastAsia="Aptos" w:cs="Arial"/>
          <w:noProof/>
          <w:color w:val="000000"/>
          <w:szCs w:val="20"/>
        </w:rPr>
        <w:drawing>
          <wp:inline distT="0" distB="0" distL="0" distR="0" wp14:anchorId="173F75E5" wp14:editId="789A8165">
            <wp:extent cx="152400" cy="152400"/>
            <wp:effectExtent l="0" t="0" r="0" b="0"/>
            <wp:docPr id="1884196700" name="Picture 10" descr="Linkedin icon hyperlink">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inkedin icon hyperlink"/>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7711">
        <w:rPr>
          <w:rFonts w:eastAsia="Aptos" w:cs="Arial"/>
          <w:color w:val="000000"/>
          <w:szCs w:val="20"/>
        </w:rPr>
        <w:t>  </w:t>
      </w:r>
      <w:r w:rsidRPr="00867711">
        <w:rPr>
          <w:rFonts w:eastAsia="Aptos" w:cs="Arial"/>
          <w:noProof/>
          <w:color w:val="000000"/>
          <w:szCs w:val="20"/>
        </w:rPr>
        <w:drawing>
          <wp:inline distT="0" distB="0" distL="0" distR="0" wp14:anchorId="5A62EA2A" wp14:editId="1FBE2B72">
            <wp:extent cx="152400" cy="152400"/>
            <wp:effectExtent l="0" t="0" r="0" b="0"/>
            <wp:docPr id="529908119" name="Picture 9" descr="Instagram icon hyperlink">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nstagram icon hyperlink"/>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7711">
        <w:rPr>
          <w:rFonts w:eastAsia="Aptos" w:cs="Arial"/>
          <w:color w:val="000000"/>
          <w:szCs w:val="20"/>
        </w:rPr>
        <w:t>  </w:t>
      </w:r>
      <w:r w:rsidRPr="00867711">
        <w:rPr>
          <w:rFonts w:eastAsia="Aptos" w:cs="Arial"/>
          <w:noProof/>
          <w:color w:val="000000"/>
          <w:szCs w:val="20"/>
        </w:rPr>
        <w:drawing>
          <wp:inline distT="0" distB="0" distL="0" distR="0" wp14:anchorId="5D957440" wp14:editId="4999B229">
            <wp:extent cx="139700" cy="139700"/>
            <wp:effectExtent l="0" t="0" r="12700" b="12700"/>
            <wp:docPr id="1635971170" name="Picture 7">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867711">
        <w:rPr>
          <w:rFonts w:eastAsia="Aptos" w:cs="Arial"/>
          <w:color w:val="000000"/>
          <w:szCs w:val="20"/>
        </w:rPr>
        <w:t>  </w:t>
      </w:r>
      <w:r w:rsidRPr="00867711">
        <w:rPr>
          <w:rFonts w:eastAsia="Aptos" w:cs="Arial"/>
          <w:noProof/>
          <w:color w:val="000000"/>
          <w:szCs w:val="20"/>
        </w:rPr>
        <w:drawing>
          <wp:inline distT="0" distB="0" distL="0" distR="0" wp14:anchorId="2854B2DA" wp14:editId="545E1482">
            <wp:extent cx="139700" cy="139700"/>
            <wp:effectExtent l="0" t="0" r="12700" b="12700"/>
            <wp:docPr id="1875860656" name="Picture 6">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867711">
        <w:rPr>
          <w:rFonts w:eastAsia="Aptos" w:cs="Arial"/>
          <w:color w:val="000000"/>
          <w:szCs w:val="20"/>
        </w:rPr>
        <w:t>  </w:t>
      </w:r>
      <w:r w:rsidRPr="00867711">
        <w:rPr>
          <w:rFonts w:eastAsia="Aptos" w:cs="Arial"/>
          <w:noProof/>
          <w:color w:val="000000"/>
          <w:szCs w:val="20"/>
        </w:rPr>
        <w:drawing>
          <wp:inline distT="0" distB="0" distL="0" distR="0" wp14:anchorId="3845ABB9" wp14:editId="63D9B2A5">
            <wp:extent cx="152400" cy="152400"/>
            <wp:effectExtent l="0" t="0" r="0" b="0"/>
            <wp:docPr id="1602025706" name="Picture 5">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7711">
        <w:rPr>
          <w:rFonts w:eastAsia="Aptos" w:cs="Arial"/>
          <w:color w:val="000000"/>
          <w:szCs w:val="20"/>
        </w:rPr>
        <w:t>  </w:t>
      </w:r>
      <w:r w:rsidRPr="00867711">
        <w:rPr>
          <w:rFonts w:eastAsia="Aptos" w:cs="Arial"/>
          <w:noProof/>
          <w:color w:val="000000"/>
          <w:szCs w:val="20"/>
        </w:rPr>
        <w:drawing>
          <wp:inline distT="0" distB="0" distL="0" distR="0" wp14:anchorId="31A746FF" wp14:editId="795B836B">
            <wp:extent cx="152400" cy="152400"/>
            <wp:effectExtent l="0" t="0" r="0" b="0"/>
            <wp:docPr id="466258347" name="Picture 8" descr="Facebook icon hyperlink">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acebook icon hyperlink"/>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7711">
        <w:rPr>
          <w:rFonts w:eastAsia="Aptos" w:cs="Arial"/>
          <w:color w:val="000000"/>
          <w:szCs w:val="20"/>
        </w:rPr>
        <w:t>  </w:t>
      </w:r>
      <w:r w:rsidRPr="00867711">
        <w:rPr>
          <w:rFonts w:eastAsia="Aptos" w:cs="Arial"/>
          <w:noProof/>
          <w:color w:val="000000"/>
          <w:szCs w:val="20"/>
        </w:rPr>
        <w:drawing>
          <wp:inline distT="0" distB="0" distL="0" distR="0" wp14:anchorId="46CD9775" wp14:editId="58383972">
            <wp:extent cx="139700" cy="139700"/>
            <wp:effectExtent l="0" t="0" r="12700" b="12700"/>
            <wp:docPr id="915018110" name="Picture 3">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867711">
        <w:rPr>
          <w:rFonts w:eastAsia="Aptos" w:cs="Arial"/>
          <w:color w:val="000000"/>
          <w:szCs w:val="20"/>
        </w:rPr>
        <w:t xml:space="preserve">  </w:t>
      </w:r>
      <w:r w:rsidRPr="00867711">
        <w:rPr>
          <w:rFonts w:eastAsia="Aptos" w:cs="Arial"/>
          <w:noProof/>
          <w:color w:val="000000"/>
          <w:szCs w:val="20"/>
        </w:rPr>
        <w:drawing>
          <wp:inline distT="0" distB="0" distL="0" distR="0" wp14:anchorId="0000B15F" wp14:editId="35A12CA7">
            <wp:extent cx="152400" cy="152400"/>
            <wp:effectExtent l="0" t="0" r="0" b="0"/>
            <wp:docPr id="1741227818" name="Picture 7" descr="Youtube icon hyperlink">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Youtube icon hyperlink"/>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7711">
        <w:rPr>
          <w:rFonts w:eastAsia="Aptos" w:cs="Arial"/>
          <w:color w:val="000000"/>
          <w:szCs w:val="20"/>
        </w:rPr>
        <w:t>  </w:t>
      </w:r>
      <w:r w:rsidRPr="00867711">
        <w:rPr>
          <w:rFonts w:eastAsia="Aptos" w:cs="Arial"/>
          <w:noProof/>
          <w:color w:val="000000"/>
          <w:szCs w:val="20"/>
        </w:rPr>
        <w:drawing>
          <wp:inline distT="0" distB="0" distL="0" distR="0" wp14:anchorId="033AE3C8" wp14:editId="05411A25">
            <wp:extent cx="152400" cy="152400"/>
            <wp:effectExtent l="0" t="0" r="0" b="0"/>
            <wp:docPr id="1312453964" name="Picture 6" descr="Rss news icon hyperlink">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ss news icon hyperlink"/>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AF6F31F" w14:textId="5D9F8CC1" w:rsidR="00A75068" w:rsidRPr="00867711" w:rsidRDefault="00A75068" w:rsidP="00A75068">
      <w:pPr>
        <w:spacing w:before="240"/>
      </w:pPr>
      <w:r w:rsidRPr="00867711">
        <w:rPr>
          <w:b/>
          <w:bCs/>
        </w:rPr>
        <w:t>OMV Aktiengesellschaft</w:t>
      </w:r>
    </w:p>
    <w:p w14:paraId="7ED9CC51" w14:textId="01C80E90" w:rsidR="00A75068" w:rsidRPr="00AF611F" w:rsidRDefault="00A75068" w:rsidP="00AF611F">
      <w:pPr>
        <w:spacing w:before="240" w:line="240" w:lineRule="auto"/>
        <w:jc w:val="both"/>
        <w:rPr>
          <w:rFonts w:eastAsia="Aptos" w:cs="Arial"/>
          <w:color w:val="000000"/>
          <w:szCs w:val="20"/>
        </w:rPr>
      </w:pPr>
      <w:r w:rsidRPr="00AF611F">
        <w:rPr>
          <w:rFonts w:eastAsia="Aptos" w:cs="Arial"/>
          <w:color w:val="000000"/>
          <w:szCs w:val="20"/>
        </w:rPr>
        <w:t>It is our purpose to re-invent essentials for sustainable living. OMV is transitioning to become an integrated sustainable energy, fuels and chemicals company. OMV is striving to achieve net zero by 2050 at the latest. In 2025, the company generated revenues of €24 billion and employed around 22,300 people worldwide. OMV’s key strategic shareholdings include a 51.2% stake in OMV Petrom and 50% in Borouge International. OMV shares are traded on the Vienna Stock Exchange (OMV) and in the United States on OTCQX (OMVKY, OMVJF).</w:t>
      </w:r>
      <w:r w:rsidR="0051428D" w:rsidRPr="00AF611F">
        <w:rPr>
          <w:rFonts w:eastAsia="Aptos" w:cs="Arial"/>
          <w:color w:val="000000"/>
          <w:szCs w:val="20"/>
        </w:rPr>
        <w:t xml:space="preserve"> For more information, please visit </w:t>
      </w:r>
      <w:hyperlink r:id="rId49" w:history="1">
        <w:r w:rsidR="0051428D" w:rsidRPr="00AF611F">
          <w:rPr>
            <w:rFonts w:eastAsia="Aptos" w:cs="Arial"/>
            <w:color w:val="000000"/>
            <w:szCs w:val="20"/>
          </w:rPr>
          <w:t>www.omv.com</w:t>
        </w:r>
      </w:hyperlink>
      <w:r w:rsidR="0051428D" w:rsidRPr="00AF611F">
        <w:rPr>
          <w:rFonts w:eastAsia="Aptos" w:cs="Arial"/>
          <w:color w:val="000000"/>
          <w:szCs w:val="20"/>
        </w:rPr>
        <w:t>.</w:t>
      </w:r>
    </w:p>
    <w:p w14:paraId="4A183D08" w14:textId="77777777" w:rsidR="0049444D" w:rsidRPr="007111AC" w:rsidRDefault="0049444D" w:rsidP="0049444D">
      <w:pPr>
        <w:jc w:val="center"/>
      </w:pPr>
    </w:p>
    <w:sectPr w:rsidR="0049444D" w:rsidRPr="007111AC" w:rsidSect="00AF611F">
      <w:headerReference w:type="default" r:id="rId50"/>
      <w:footerReference w:type="default" r:id="rId51"/>
      <w:pgSz w:w="11906" w:h="16838"/>
      <w:pgMar w:top="567"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DB343" w14:textId="77777777" w:rsidR="000072A5" w:rsidRPr="00867711" w:rsidRDefault="000072A5" w:rsidP="001C2CE7">
      <w:pPr>
        <w:spacing w:before="0" w:after="0" w:line="240" w:lineRule="auto"/>
      </w:pPr>
      <w:r w:rsidRPr="00867711">
        <w:separator/>
      </w:r>
    </w:p>
  </w:endnote>
  <w:endnote w:type="continuationSeparator" w:id="0">
    <w:p w14:paraId="5003CBC1" w14:textId="77777777" w:rsidR="000072A5" w:rsidRPr="00867711" w:rsidRDefault="000072A5" w:rsidP="001C2CE7">
      <w:pPr>
        <w:spacing w:before="0" w:after="0" w:line="240" w:lineRule="auto"/>
      </w:pPr>
      <w:r w:rsidRPr="008677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5D6E" w14:textId="3176B4D9" w:rsidR="001C2CE7" w:rsidRPr="00CD2A16" w:rsidRDefault="001C2CE7" w:rsidP="0049444D">
    <w:pPr>
      <w:pStyle w:val="Footer"/>
      <w:jc w:val="center"/>
      <w:rPr>
        <w:lang w:val="de-AT"/>
      </w:rPr>
    </w:pPr>
    <w:bookmarkStart w:id="0" w:name="_Hlk125015833"/>
    <w:bookmarkStart w:id="1" w:name="_Hlk125015834"/>
    <w:r w:rsidRPr="00CD2A16">
      <w:rPr>
        <w:color w:val="A6A6A6" w:themeColor="background1" w:themeShade="A6"/>
        <w:sz w:val="16"/>
        <w:szCs w:val="20"/>
        <w:lang w:val="de-AT"/>
      </w:rPr>
      <w:t>98-100, boulevard Konrad Adenauer L-2950 Luxembourg – www.eib.org/press – press@eib.org</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B0C2" w14:textId="77777777" w:rsidR="000072A5" w:rsidRPr="00867711" w:rsidRDefault="000072A5" w:rsidP="001C2CE7">
      <w:pPr>
        <w:spacing w:before="0" w:after="0" w:line="240" w:lineRule="auto"/>
      </w:pPr>
      <w:r w:rsidRPr="00867711">
        <w:separator/>
      </w:r>
    </w:p>
  </w:footnote>
  <w:footnote w:type="continuationSeparator" w:id="0">
    <w:p w14:paraId="7DF0949C" w14:textId="77777777" w:rsidR="000072A5" w:rsidRPr="00867711" w:rsidRDefault="000072A5" w:rsidP="001C2CE7">
      <w:pPr>
        <w:spacing w:before="0" w:after="0" w:line="240" w:lineRule="auto"/>
      </w:pPr>
      <w:r w:rsidRPr="008677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EBFF" w14:textId="7ADA7E38" w:rsidR="001C2CE7" w:rsidRPr="00867711" w:rsidRDefault="001C2CE7">
    <w:pPr>
      <w:pStyle w:val="Header"/>
    </w:pPr>
    <w:r w:rsidRPr="00867711">
      <w:rPr>
        <w:noProof/>
      </w:rPr>
      <mc:AlternateContent>
        <mc:Choice Requires="wps">
          <w:drawing>
            <wp:anchor distT="0" distB="0" distL="114300" distR="114300" simplePos="0" relativeHeight="251658240" behindDoc="0" locked="0" layoutInCell="0" allowOverlap="1" wp14:anchorId="2B29321E" wp14:editId="0CB6FDB2">
              <wp:simplePos x="0" y="0"/>
              <wp:positionH relativeFrom="page">
                <wp:posOffset>0</wp:posOffset>
              </wp:positionH>
              <wp:positionV relativeFrom="page">
                <wp:posOffset>190500</wp:posOffset>
              </wp:positionV>
              <wp:extent cx="7560310" cy="273050"/>
              <wp:effectExtent l="0" t="0" r="0" b="12700"/>
              <wp:wrapNone/>
              <wp:docPr id="2" name="MSIPCM89c2496dbeacf0f42e18f709" descr="{&quot;HashCode&quot;:19403718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35743" w14:textId="38AFF2A1" w:rsidR="001C2CE7" w:rsidRPr="00867711" w:rsidRDefault="001C2CE7" w:rsidP="001C2CE7">
                          <w:pPr>
                            <w:spacing w:before="0" w:after="0"/>
                            <w:jc w:val="center"/>
                            <w:rPr>
                              <w:rFonts w:ascii="Calibri" w:hAnsi="Calibri"/>
                              <w:color w:val="808080"/>
                            </w:rPr>
                          </w:pPr>
                          <w:r w:rsidRPr="00867711">
                            <w:rPr>
                              <w:rFonts w:ascii="Calibri" w:hAnsi="Calibri"/>
                              <w:color w:val="80808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B29321E" id="_x0000_t202" coordsize="21600,21600" o:spt="202" path="m,l,21600r21600,l21600,xe">
              <v:stroke joinstyle="miter"/>
              <v:path gradientshapeok="t" o:connecttype="rect"/>
            </v:shapetype>
            <v:shape id="MSIPCM89c2496dbeacf0f42e18f709" o:spid="_x0000_s1026" type="#_x0000_t202" alt="{&quot;HashCode&quot;:1940371815,&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2035743" w14:textId="38AFF2A1" w:rsidR="001C2CE7" w:rsidRPr="00867711" w:rsidRDefault="001C2CE7" w:rsidP="001C2CE7">
                    <w:pPr>
                      <w:spacing w:before="0" w:after="0"/>
                      <w:jc w:val="center"/>
                      <w:rPr>
                        <w:rFonts w:ascii="Calibri" w:hAnsi="Calibri"/>
                        <w:color w:val="808080"/>
                      </w:rPr>
                    </w:pPr>
                    <w:r w:rsidRPr="00867711">
                      <w:rPr>
                        <w:rFonts w:ascii="Calibri" w:hAnsi="Calibri"/>
                        <w:color w:val="80808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7359"/>
    <w:multiLevelType w:val="hybridMultilevel"/>
    <w:tmpl w:val="CD780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BC6220"/>
    <w:multiLevelType w:val="multilevel"/>
    <w:tmpl w:val="C2BC4940"/>
    <w:lvl w:ilvl="0">
      <w:start w:val="1"/>
      <w:numFmt w:val="bullet"/>
      <w:pStyle w:val="EIBbullets"/>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213978"/>
    <w:multiLevelType w:val="hybridMultilevel"/>
    <w:tmpl w:val="BC602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4254B13"/>
    <w:multiLevelType w:val="multilevel"/>
    <w:tmpl w:val="CED2D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5D1539"/>
    <w:multiLevelType w:val="multilevel"/>
    <w:tmpl w:val="E2660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30010C"/>
    <w:multiLevelType w:val="multilevel"/>
    <w:tmpl w:val="15DCD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901D17"/>
    <w:multiLevelType w:val="multilevel"/>
    <w:tmpl w:val="7604FED6"/>
    <w:styleLink w:val="Bulletliste"/>
    <w:lvl w:ilvl="0">
      <w:start w:val="1"/>
      <w:numFmt w:val="bullet"/>
      <w:pStyle w:val="Bullet"/>
      <w:lvlText w:val=""/>
      <w:lvlJc w:val="left"/>
      <w:pPr>
        <w:ind w:left="170" w:hanging="170"/>
      </w:pPr>
      <w:rPr>
        <w:rFonts w:ascii="Wingdings 2" w:hAnsi="Wingdings 2" w:hint="default"/>
        <w:color w:val="007A37"/>
      </w:rPr>
    </w:lvl>
    <w:lvl w:ilvl="1">
      <w:start w:val="1"/>
      <w:numFmt w:val="bullet"/>
      <w:lvlText w:val=""/>
      <w:lvlJc w:val="left"/>
      <w:pPr>
        <w:ind w:left="340" w:hanging="170"/>
      </w:pPr>
      <w:rPr>
        <w:rFonts w:ascii="Wingdings 2" w:hAnsi="Wingdings 2" w:hint="default"/>
        <w:color w:val="007A37"/>
      </w:rPr>
    </w:lvl>
    <w:lvl w:ilvl="2">
      <w:start w:val="1"/>
      <w:numFmt w:val="bullet"/>
      <w:lvlText w:val=""/>
      <w:lvlJc w:val="left"/>
      <w:pPr>
        <w:ind w:left="510" w:hanging="170"/>
      </w:pPr>
      <w:rPr>
        <w:rFonts w:ascii="Wingdings 2" w:hAnsi="Wingdings 2" w:hint="default"/>
        <w:color w:val="007A37"/>
      </w:rPr>
    </w:lvl>
    <w:lvl w:ilvl="3">
      <w:start w:val="1"/>
      <w:numFmt w:val="bullet"/>
      <w:lvlText w:val=""/>
      <w:lvlJc w:val="left"/>
      <w:pPr>
        <w:ind w:left="680" w:hanging="170"/>
      </w:pPr>
      <w:rPr>
        <w:rFonts w:ascii="Wingdings 2" w:hAnsi="Wingdings 2" w:hint="default"/>
        <w:color w:val="007A37"/>
      </w:rPr>
    </w:lvl>
    <w:lvl w:ilvl="4">
      <w:start w:val="1"/>
      <w:numFmt w:val="bullet"/>
      <w:lvlText w:val=""/>
      <w:lvlJc w:val="left"/>
      <w:pPr>
        <w:ind w:left="850" w:hanging="170"/>
      </w:pPr>
      <w:rPr>
        <w:rFonts w:ascii="Wingdings 2" w:hAnsi="Wingdings 2" w:hint="default"/>
        <w:color w:val="007A37"/>
      </w:rPr>
    </w:lvl>
    <w:lvl w:ilvl="5">
      <w:start w:val="1"/>
      <w:numFmt w:val="bullet"/>
      <w:lvlText w:val=""/>
      <w:lvlJc w:val="left"/>
      <w:pPr>
        <w:ind w:left="1020" w:hanging="170"/>
      </w:pPr>
      <w:rPr>
        <w:rFonts w:ascii="Wingdings 2" w:hAnsi="Wingdings 2" w:hint="default"/>
        <w:color w:val="007A37"/>
      </w:rPr>
    </w:lvl>
    <w:lvl w:ilvl="6">
      <w:start w:val="1"/>
      <w:numFmt w:val="bullet"/>
      <w:lvlText w:val=""/>
      <w:lvlJc w:val="left"/>
      <w:pPr>
        <w:ind w:left="1190" w:hanging="170"/>
      </w:pPr>
      <w:rPr>
        <w:rFonts w:ascii="Wingdings 2" w:hAnsi="Wingdings 2" w:hint="default"/>
        <w:color w:val="007A37"/>
      </w:rPr>
    </w:lvl>
    <w:lvl w:ilvl="7">
      <w:start w:val="1"/>
      <w:numFmt w:val="bullet"/>
      <w:lvlText w:val=""/>
      <w:lvlJc w:val="left"/>
      <w:pPr>
        <w:ind w:left="1360" w:hanging="170"/>
      </w:pPr>
      <w:rPr>
        <w:rFonts w:ascii="Wingdings 2" w:hAnsi="Wingdings 2" w:hint="default"/>
        <w:color w:val="007A37"/>
      </w:rPr>
    </w:lvl>
    <w:lvl w:ilvl="8">
      <w:start w:val="1"/>
      <w:numFmt w:val="bullet"/>
      <w:lvlText w:val=""/>
      <w:lvlJc w:val="left"/>
      <w:pPr>
        <w:ind w:left="1530" w:hanging="170"/>
      </w:pPr>
      <w:rPr>
        <w:rFonts w:ascii="Wingdings 2" w:hAnsi="Wingdings 2" w:hint="default"/>
        <w:color w:val="007A37"/>
      </w:rPr>
    </w:lvl>
  </w:abstractNum>
  <w:abstractNum w:abstractNumId="7" w15:restartNumberingAfterBreak="0">
    <w:nsid w:val="78372251"/>
    <w:multiLevelType w:val="multilevel"/>
    <w:tmpl w:val="66D8F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89350616">
    <w:abstractNumId w:val="1"/>
  </w:num>
  <w:num w:numId="2" w16cid:durableId="1662389756">
    <w:abstractNumId w:val="1"/>
  </w:num>
  <w:num w:numId="3" w16cid:durableId="1155994020">
    <w:abstractNumId w:val="1"/>
  </w:num>
  <w:num w:numId="4" w16cid:durableId="211818540">
    <w:abstractNumId w:val="1"/>
  </w:num>
  <w:num w:numId="5" w16cid:durableId="19354950">
    <w:abstractNumId w:val="0"/>
  </w:num>
  <w:num w:numId="6" w16cid:durableId="757215455">
    <w:abstractNumId w:val="5"/>
  </w:num>
  <w:num w:numId="7" w16cid:durableId="1992253191">
    <w:abstractNumId w:val="2"/>
  </w:num>
  <w:num w:numId="8" w16cid:durableId="770513128">
    <w:abstractNumId w:val="4"/>
  </w:num>
  <w:num w:numId="9" w16cid:durableId="201332131">
    <w:abstractNumId w:val="7"/>
  </w:num>
  <w:num w:numId="10" w16cid:durableId="516624512">
    <w:abstractNumId w:val="6"/>
  </w:num>
  <w:num w:numId="11" w16cid:durableId="832992338">
    <w:abstractNumId w:val="6"/>
  </w:num>
  <w:num w:numId="12" w16cid:durableId="882326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E7"/>
    <w:rsid w:val="00000530"/>
    <w:rsid w:val="000072A5"/>
    <w:rsid w:val="00012D42"/>
    <w:rsid w:val="00014650"/>
    <w:rsid w:val="00014EDE"/>
    <w:rsid w:val="00015C7D"/>
    <w:rsid w:val="000213E7"/>
    <w:rsid w:val="00021F00"/>
    <w:rsid w:val="00022346"/>
    <w:rsid w:val="00026D14"/>
    <w:rsid w:val="00030D85"/>
    <w:rsid w:val="00032CD6"/>
    <w:rsid w:val="000336E7"/>
    <w:rsid w:val="000339F2"/>
    <w:rsid w:val="00043668"/>
    <w:rsid w:val="00046B00"/>
    <w:rsid w:val="00054C9C"/>
    <w:rsid w:val="00056866"/>
    <w:rsid w:val="00066FB0"/>
    <w:rsid w:val="0007060D"/>
    <w:rsid w:val="000776CE"/>
    <w:rsid w:val="00077FFE"/>
    <w:rsid w:val="00084C4C"/>
    <w:rsid w:val="00086473"/>
    <w:rsid w:val="0009105F"/>
    <w:rsid w:val="00091E77"/>
    <w:rsid w:val="00092E57"/>
    <w:rsid w:val="000A0017"/>
    <w:rsid w:val="000B012D"/>
    <w:rsid w:val="000B1371"/>
    <w:rsid w:val="000B24DE"/>
    <w:rsid w:val="000C5257"/>
    <w:rsid w:val="000C7AB7"/>
    <w:rsid w:val="000D048C"/>
    <w:rsid w:val="000D6DE1"/>
    <w:rsid w:val="000E4FC6"/>
    <w:rsid w:val="001017A5"/>
    <w:rsid w:val="00105512"/>
    <w:rsid w:val="0011519C"/>
    <w:rsid w:val="00116A1B"/>
    <w:rsid w:val="001233DD"/>
    <w:rsid w:val="0014590C"/>
    <w:rsid w:val="00152412"/>
    <w:rsid w:val="0015405E"/>
    <w:rsid w:val="001625E6"/>
    <w:rsid w:val="001719BF"/>
    <w:rsid w:val="0017220B"/>
    <w:rsid w:val="001723B7"/>
    <w:rsid w:val="00181799"/>
    <w:rsid w:val="00183F8A"/>
    <w:rsid w:val="00185205"/>
    <w:rsid w:val="001868C4"/>
    <w:rsid w:val="001901F4"/>
    <w:rsid w:val="0019343A"/>
    <w:rsid w:val="001C2CE7"/>
    <w:rsid w:val="001C3F51"/>
    <w:rsid w:val="001C4D84"/>
    <w:rsid w:val="001D232F"/>
    <w:rsid w:val="001D4A60"/>
    <w:rsid w:val="001D78E9"/>
    <w:rsid w:val="001D7938"/>
    <w:rsid w:val="001E0B8E"/>
    <w:rsid w:val="001E68F2"/>
    <w:rsid w:val="001F0B1F"/>
    <w:rsid w:val="001F3016"/>
    <w:rsid w:val="001F6921"/>
    <w:rsid w:val="00212A81"/>
    <w:rsid w:val="002173A3"/>
    <w:rsid w:val="00223FFD"/>
    <w:rsid w:val="002275B0"/>
    <w:rsid w:val="00241205"/>
    <w:rsid w:val="00244022"/>
    <w:rsid w:val="00245A24"/>
    <w:rsid w:val="002521C2"/>
    <w:rsid w:val="002530A8"/>
    <w:rsid w:val="002703C1"/>
    <w:rsid w:val="0027384B"/>
    <w:rsid w:val="00274A80"/>
    <w:rsid w:val="00284781"/>
    <w:rsid w:val="0028712F"/>
    <w:rsid w:val="002939DE"/>
    <w:rsid w:val="00296237"/>
    <w:rsid w:val="002A1EF4"/>
    <w:rsid w:val="002A47DA"/>
    <w:rsid w:val="002B3A3F"/>
    <w:rsid w:val="002B50D8"/>
    <w:rsid w:val="002C405F"/>
    <w:rsid w:val="002D3FCC"/>
    <w:rsid w:val="002E1777"/>
    <w:rsid w:val="002E56F0"/>
    <w:rsid w:val="002F6EEF"/>
    <w:rsid w:val="002F6FC8"/>
    <w:rsid w:val="00300950"/>
    <w:rsid w:val="0030233B"/>
    <w:rsid w:val="0030372D"/>
    <w:rsid w:val="00304CA7"/>
    <w:rsid w:val="00305747"/>
    <w:rsid w:val="00312FEA"/>
    <w:rsid w:val="00315359"/>
    <w:rsid w:val="003162E0"/>
    <w:rsid w:val="0032109B"/>
    <w:rsid w:val="003240FB"/>
    <w:rsid w:val="0032630D"/>
    <w:rsid w:val="00331A97"/>
    <w:rsid w:val="003330E0"/>
    <w:rsid w:val="00333A4C"/>
    <w:rsid w:val="0033592D"/>
    <w:rsid w:val="0033639D"/>
    <w:rsid w:val="003419EA"/>
    <w:rsid w:val="00342287"/>
    <w:rsid w:val="00342569"/>
    <w:rsid w:val="0034447F"/>
    <w:rsid w:val="00352B68"/>
    <w:rsid w:val="00356462"/>
    <w:rsid w:val="003612B2"/>
    <w:rsid w:val="00361CAA"/>
    <w:rsid w:val="003740EF"/>
    <w:rsid w:val="003746B9"/>
    <w:rsid w:val="003921CC"/>
    <w:rsid w:val="00395AE0"/>
    <w:rsid w:val="00397D47"/>
    <w:rsid w:val="003A679A"/>
    <w:rsid w:val="003B2ED6"/>
    <w:rsid w:val="003B6953"/>
    <w:rsid w:val="003C2530"/>
    <w:rsid w:val="003C4EB3"/>
    <w:rsid w:val="003C7E8A"/>
    <w:rsid w:val="003E7CEA"/>
    <w:rsid w:val="003F3CE3"/>
    <w:rsid w:val="003F5F19"/>
    <w:rsid w:val="00401D01"/>
    <w:rsid w:val="0040226B"/>
    <w:rsid w:val="004028BF"/>
    <w:rsid w:val="00405DE3"/>
    <w:rsid w:val="0041094D"/>
    <w:rsid w:val="00411942"/>
    <w:rsid w:val="00417727"/>
    <w:rsid w:val="00417785"/>
    <w:rsid w:val="004200DA"/>
    <w:rsid w:val="00420CB8"/>
    <w:rsid w:val="00424048"/>
    <w:rsid w:val="0044333F"/>
    <w:rsid w:val="00444C65"/>
    <w:rsid w:val="0045403C"/>
    <w:rsid w:val="0045419C"/>
    <w:rsid w:val="0046234D"/>
    <w:rsid w:val="00464709"/>
    <w:rsid w:val="00471951"/>
    <w:rsid w:val="004733A3"/>
    <w:rsid w:val="00475E84"/>
    <w:rsid w:val="00484B79"/>
    <w:rsid w:val="00491158"/>
    <w:rsid w:val="0049444D"/>
    <w:rsid w:val="0049614E"/>
    <w:rsid w:val="00497D36"/>
    <w:rsid w:val="004A07E4"/>
    <w:rsid w:val="004A08FE"/>
    <w:rsid w:val="004B09AD"/>
    <w:rsid w:val="004B1541"/>
    <w:rsid w:val="004C0295"/>
    <w:rsid w:val="004C44C7"/>
    <w:rsid w:val="004C71DE"/>
    <w:rsid w:val="004D7A14"/>
    <w:rsid w:val="004E3B9D"/>
    <w:rsid w:val="004E6901"/>
    <w:rsid w:val="004E6AAE"/>
    <w:rsid w:val="0050578D"/>
    <w:rsid w:val="0051428D"/>
    <w:rsid w:val="00521E45"/>
    <w:rsid w:val="00530AC1"/>
    <w:rsid w:val="00531572"/>
    <w:rsid w:val="005431FE"/>
    <w:rsid w:val="0055380F"/>
    <w:rsid w:val="005578B7"/>
    <w:rsid w:val="00561138"/>
    <w:rsid w:val="005613E4"/>
    <w:rsid w:val="00562F9F"/>
    <w:rsid w:val="0057036B"/>
    <w:rsid w:val="00573588"/>
    <w:rsid w:val="00574EAA"/>
    <w:rsid w:val="0058717F"/>
    <w:rsid w:val="00591B54"/>
    <w:rsid w:val="00592DFC"/>
    <w:rsid w:val="00593BB9"/>
    <w:rsid w:val="00594967"/>
    <w:rsid w:val="005A02A1"/>
    <w:rsid w:val="005B25C7"/>
    <w:rsid w:val="005C53AB"/>
    <w:rsid w:val="005E5A94"/>
    <w:rsid w:val="005E7264"/>
    <w:rsid w:val="005F13BD"/>
    <w:rsid w:val="005F155C"/>
    <w:rsid w:val="005F38D0"/>
    <w:rsid w:val="006026DF"/>
    <w:rsid w:val="00604516"/>
    <w:rsid w:val="00612E7D"/>
    <w:rsid w:val="006173BE"/>
    <w:rsid w:val="00620AE0"/>
    <w:rsid w:val="006332CE"/>
    <w:rsid w:val="00634138"/>
    <w:rsid w:val="0063680D"/>
    <w:rsid w:val="006370DC"/>
    <w:rsid w:val="00642437"/>
    <w:rsid w:val="006433AA"/>
    <w:rsid w:val="0065016F"/>
    <w:rsid w:val="00651B3B"/>
    <w:rsid w:val="00653AE9"/>
    <w:rsid w:val="00661D8F"/>
    <w:rsid w:val="00665EEF"/>
    <w:rsid w:val="00667E29"/>
    <w:rsid w:val="0067321D"/>
    <w:rsid w:val="00676808"/>
    <w:rsid w:val="00677724"/>
    <w:rsid w:val="006863A4"/>
    <w:rsid w:val="006A1DB2"/>
    <w:rsid w:val="006A370E"/>
    <w:rsid w:val="006A6DF2"/>
    <w:rsid w:val="006B26BB"/>
    <w:rsid w:val="006C77DE"/>
    <w:rsid w:val="006D178B"/>
    <w:rsid w:val="006E1B64"/>
    <w:rsid w:val="006F1896"/>
    <w:rsid w:val="006F1A9F"/>
    <w:rsid w:val="006F1F37"/>
    <w:rsid w:val="006F3067"/>
    <w:rsid w:val="006F6C51"/>
    <w:rsid w:val="006F6CE3"/>
    <w:rsid w:val="00704C62"/>
    <w:rsid w:val="00705902"/>
    <w:rsid w:val="0070636E"/>
    <w:rsid w:val="007111AC"/>
    <w:rsid w:val="0071173D"/>
    <w:rsid w:val="00712723"/>
    <w:rsid w:val="00713DF5"/>
    <w:rsid w:val="00714293"/>
    <w:rsid w:val="00715FD7"/>
    <w:rsid w:val="007221D0"/>
    <w:rsid w:val="00726FBA"/>
    <w:rsid w:val="00727664"/>
    <w:rsid w:val="0073035B"/>
    <w:rsid w:val="00744664"/>
    <w:rsid w:val="00760F59"/>
    <w:rsid w:val="00760FE9"/>
    <w:rsid w:val="0076185F"/>
    <w:rsid w:val="0076412E"/>
    <w:rsid w:val="00775847"/>
    <w:rsid w:val="00776FD0"/>
    <w:rsid w:val="00784054"/>
    <w:rsid w:val="00791DE7"/>
    <w:rsid w:val="00792397"/>
    <w:rsid w:val="00794911"/>
    <w:rsid w:val="007A39DD"/>
    <w:rsid w:val="007A3DAB"/>
    <w:rsid w:val="007B1711"/>
    <w:rsid w:val="007B4314"/>
    <w:rsid w:val="007B4735"/>
    <w:rsid w:val="007C5C07"/>
    <w:rsid w:val="007C5E08"/>
    <w:rsid w:val="007D68A5"/>
    <w:rsid w:val="007E05E3"/>
    <w:rsid w:val="007E4A22"/>
    <w:rsid w:val="007E5678"/>
    <w:rsid w:val="007E655A"/>
    <w:rsid w:val="007E7056"/>
    <w:rsid w:val="007E7275"/>
    <w:rsid w:val="007F5165"/>
    <w:rsid w:val="00805374"/>
    <w:rsid w:val="00807CC9"/>
    <w:rsid w:val="00807E16"/>
    <w:rsid w:val="00810A03"/>
    <w:rsid w:val="00812281"/>
    <w:rsid w:val="00814855"/>
    <w:rsid w:val="0081759B"/>
    <w:rsid w:val="00820761"/>
    <w:rsid w:val="0083027E"/>
    <w:rsid w:val="00830D04"/>
    <w:rsid w:val="00832E72"/>
    <w:rsid w:val="00833D2C"/>
    <w:rsid w:val="00843D54"/>
    <w:rsid w:val="00846330"/>
    <w:rsid w:val="00846B27"/>
    <w:rsid w:val="00856251"/>
    <w:rsid w:val="0085796D"/>
    <w:rsid w:val="008605AB"/>
    <w:rsid w:val="00864109"/>
    <w:rsid w:val="00867711"/>
    <w:rsid w:val="00873209"/>
    <w:rsid w:val="00873643"/>
    <w:rsid w:val="00886043"/>
    <w:rsid w:val="00891CC0"/>
    <w:rsid w:val="0089236A"/>
    <w:rsid w:val="008B14F7"/>
    <w:rsid w:val="008B1DE4"/>
    <w:rsid w:val="008E26FC"/>
    <w:rsid w:val="008E2B15"/>
    <w:rsid w:val="008E5742"/>
    <w:rsid w:val="008F1573"/>
    <w:rsid w:val="008F1595"/>
    <w:rsid w:val="008F60C1"/>
    <w:rsid w:val="008F737E"/>
    <w:rsid w:val="00900044"/>
    <w:rsid w:val="00900790"/>
    <w:rsid w:val="00901FB0"/>
    <w:rsid w:val="00904589"/>
    <w:rsid w:val="009066AB"/>
    <w:rsid w:val="00907E64"/>
    <w:rsid w:val="009108B8"/>
    <w:rsid w:val="00915D88"/>
    <w:rsid w:val="00916233"/>
    <w:rsid w:val="0092468B"/>
    <w:rsid w:val="00933A36"/>
    <w:rsid w:val="00936908"/>
    <w:rsid w:val="00937B0A"/>
    <w:rsid w:val="00944E3E"/>
    <w:rsid w:val="00946DAC"/>
    <w:rsid w:val="00950FE4"/>
    <w:rsid w:val="009521B3"/>
    <w:rsid w:val="00952B9A"/>
    <w:rsid w:val="009610E2"/>
    <w:rsid w:val="0097214C"/>
    <w:rsid w:val="00973F06"/>
    <w:rsid w:val="0097461C"/>
    <w:rsid w:val="00983DCF"/>
    <w:rsid w:val="0098754C"/>
    <w:rsid w:val="00990668"/>
    <w:rsid w:val="009978AA"/>
    <w:rsid w:val="009B6F33"/>
    <w:rsid w:val="009C0098"/>
    <w:rsid w:val="009C3688"/>
    <w:rsid w:val="009C57F4"/>
    <w:rsid w:val="009D0423"/>
    <w:rsid w:val="009D0F40"/>
    <w:rsid w:val="009D5A60"/>
    <w:rsid w:val="009E0319"/>
    <w:rsid w:val="009E2DD0"/>
    <w:rsid w:val="009F2F8B"/>
    <w:rsid w:val="00A02935"/>
    <w:rsid w:val="00A10E55"/>
    <w:rsid w:val="00A11574"/>
    <w:rsid w:val="00A20C25"/>
    <w:rsid w:val="00A21E8B"/>
    <w:rsid w:val="00A21F8C"/>
    <w:rsid w:val="00A2350D"/>
    <w:rsid w:val="00A32452"/>
    <w:rsid w:val="00A333DC"/>
    <w:rsid w:val="00A3463D"/>
    <w:rsid w:val="00A36A22"/>
    <w:rsid w:val="00A431B3"/>
    <w:rsid w:val="00A43B72"/>
    <w:rsid w:val="00A52777"/>
    <w:rsid w:val="00A52ACC"/>
    <w:rsid w:val="00A601F8"/>
    <w:rsid w:val="00A75068"/>
    <w:rsid w:val="00A75B95"/>
    <w:rsid w:val="00A767D8"/>
    <w:rsid w:val="00A825D2"/>
    <w:rsid w:val="00A8312F"/>
    <w:rsid w:val="00A90E1B"/>
    <w:rsid w:val="00AA4FF8"/>
    <w:rsid w:val="00AA7F14"/>
    <w:rsid w:val="00AB4E87"/>
    <w:rsid w:val="00AC7003"/>
    <w:rsid w:val="00AC71E1"/>
    <w:rsid w:val="00AC7D43"/>
    <w:rsid w:val="00AD0F36"/>
    <w:rsid w:val="00AD4EA3"/>
    <w:rsid w:val="00AD5195"/>
    <w:rsid w:val="00AD5662"/>
    <w:rsid w:val="00AE6120"/>
    <w:rsid w:val="00AF611F"/>
    <w:rsid w:val="00B00C63"/>
    <w:rsid w:val="00B00CDC"/>
    <w:rsid w:val="00B0186B"/>
    <w:rsid w:val="00B10EDD"/>
    <w:rsid w:val="00B15E74"/>
    <w:rsid w:val="00B25830"/>
    <w:rsid w:val="00B25923"/>
    <w:rsid w:val="00B30518"/>
    <w:rsid w:val="00B335B0"/>
    <w:rsid w:val="00B345BC"/>
    <w:rsid w:val="00B34F6E"/>
    <w:rsid w:val="00B35177"/>
    <w:rsid w:val="00B42059"/>
    <w:rsid w:val="00B473B4"/>
    <w:rsid w:val="00B50313"/>
    <w:rsid w:val="00B511AC"/>
    <w:rsid w:val="00B5325C"/>
    <w:rsid w:val="00B543D5"/>
    <w:rsid w:val="00B54606"/>
    <w:rsid w:val="00B61323"/>
    <w:rsid w:val="00B6596D"/>
    <w:rsid w:val="00B65C03"/>
    <w:rsid w:val="00B81BAC"/>
    <w:rsid w:val="00B82163"/>
    <w:rsid w:val="00B843A2"/>
    <w:rsid w:val="00B93C69"/>
    <w:rsid w:val="00B96F8C"/>
    <w:rsid w:val="00BA6057"/>
    <w:rsid w:val="00BB133F"/>
    <w:rsid w:val="00BC4755"/>
    <w:rsid w:val="00BD64D4"/>
    <w:rsid w:val="00BE1772"/>
    <w:rsid w:val="00BE6FF9"/>
    <w:rsid w:val="00BF515E"/>
    <w:rsid w:val="00C00B75"/>
    <w:rsid w:val="00C04B4F"/>
    <w:rsid w:val="00C21357"/>
    <w:rsid w:val="00C242EC"/>
    <w:rsid w:val="00C27E89"/>
    <w:rsid w:val="00C3178F"/>
    <w:rsid w:val="00C31D10"/>
    <w:rsid w:val="00C33941"/>
    <w:rsid w:val="00C340B3"/>
    <w:rsid w:val="00C368BF"/>
    <w:rsid w:val="00C42ED5"/>
    <w:rsid w:val="00C45F91"/>
    <w:rsid w:val="00C51D2A"/>
    <w:rsid w:val="00C53065"/>
    <w:rsid w:val="00C65C54"/>
    <w:rsid w:val="00C6746E"/>
    <w:rsid w:val="00C67846"/>
    <w:rsid w:val="00C728FC"/>
    <w:rsid w:val="00C74497"/>
    <w:rsid w:val="00C8313D"/>
    <w:rsid w:val="00C96615"/>
    <w:rsid w:val="00CA248A"/>
    <w:rsid w:val="00CA4BE4"/>
    <w:rsid w:val="00CB19A3"/>
    <w:rsid w:val="00CB3E38"/>
    <w:rsid w:val="00CB42F5"/>
    <w:rsid w:val="00CB45A0"/>
    <w:rsid w:val="00CB66A2"/>
    <w:rsid w:val="00CB6A80"/>
    <w:rsid w:val="00CC6E11"/>
    <w:rsid w:val="00CD2A16"/>
    <w:rsid w:val="00CE3A5A"/>
    <w:rsid w:val="00CF3560"/>
    <w:rsid w:val="00D02DE6"/>
    <w:rsid w:val="00D1059C"/>
    <w:rsid w:val="00D144C7"/>
    <w:rsid w:val="00D164CC"/>
    <w:rsid w:val="00D225D6"/>
    <w:rsid w:val="00D26CD2"/>
    <w:rsid w:val="00D303D0"/>
    <w:rsid w:val="00D3413A"/>
    <w:rsid w:val="00D351C9"/>
    <w:rsid w:val="00D36A9C"/>
    <w:rsid w:val="00D36B6B"/>
    <w:rsid w:val="00D437D1"/>
    <w:rsid w:val="00D450D3"/>
    <w:rsid w:val="00D50BAA"/>
    <w:rsid w:val="00D53617"/>
    <w:rsid w:val="00D57582"/>
    <w:rsid w:val="00D575FA"/>
    <w:rsid w:val="00D72E09"/>
    <w:rsid w:val="00D72F17"/>
    <w:rsid w:val="00D75D73"/>
    <w:rsid w:val="00D806F1"/>
    <w:rsid w:val="00D85544"/>
    <w:rsid w:val="00D92F98"/>
    <w:rsid w:val="00D932E6"/>
    <w:rsid w:val="00D978AB"/>
    <w:rsid w:val="00DA099F"/>
    <w:rsid w:val="00DB1111"/>
    <w:rsid w:val="00DB4648"/>
    <w:rsid w:val="00DC2445"/>
    <w:rsid w:val="00DC6CAB"/>
    <w:rsid w:val="00DD12B3"/>
    <w:rsid w:val="00DD1548"/>
    <w:rsid w:val="00DD225B"/>
    <w:rsid w:val="00DF5FE7"/>
    <w:rsid w:val="00E11C90"/>
    <w:rsid w:val="00E13631"/>
    <w:rsid w:val="00E14CAD"/>
    <w:rsid w:val="00E152E3"/>
    <w:rsid w:val="00E21BBA"/>
    <w:rsid w:val="00E220AA"/>
    <w:rsid w:val="00E2659E"/>
    <w:rsid w:val="00E3175A"/>
    <w:rsid w:val="00E3425C"/>
    <w:rsid w:val="00E344E8"/>
    <w:rsid w:val="00E40CD4"/>
    <w:rsid w:val="00E41840"/>
    <w:rsid w:val="00E47A19"/>
    <w:rsid w:val="00E509E8"/>
    <w:rsid w:val="00E55D3F"/>
    <w:rsid w:val="00E613F3"/>
    <w:rsid w:val="00E61AA0"/>
    <w:rsid w:val="00E710B4"/>
    <w:rsid w:val="00E740CE"/>
    <w:rsid w:val="00E744D4"/>
    <w:rsid w:val="00E844BA"/>
    <w:rsid w:val="00E84DBF"/>
    <w:rsid w:val="00E87029"/>
    <w:rsid w:val="00E959CB"/>
    <w:rsid w:val="00E95F59"/>
    <w:rsid w:val="00EA0B60"/>
    <w:rsid w:val="00EA2827"/>
    <w:rsid w:val="00EA3847"/>
    <w:rsid w:val="00EA5D1A"/>
    <w:rsid w:val="00EA6F32"/>
    <w:rsid w:val="00EB340B"/>
    <w:rsid w:val="00EB4E63"/>
    <w:rsid w:val="00EC1256"/>
    <w:rsid w:val="00EC27B4"/>
    <w:rsid w:val="00EC3E30"/>
    <w:rsid w:val="00EC62D1"/>
    <w:rsid w:val="00EC7CFB"/>
    <w:rsid w:val="00ED1923"/>
    <w:rsid w:val="00ED5DBD"/>
    <w:rsid w:val="00EE04EE"/>
    <w:rsid w:val="00EE7949"/>
    <w:rsid w:val="00EF7934"/>
    <w:rsid w:val="00F041D8"/>
    <w:rsid w:val="00F05959"/>
    <w:rsid w:val="00F072A9"/>
    <w:rsid w:val="00F12268"/>
    <w:rsid w:val="00F203EC"/>
    <w:rsid w:val="00F207B9"/>
    <w:rsid w:val="00F22897"/>
    <w:rsid w:val="00F23884"/>
    <w:rsid w:val="00F42F63"/>
    <w:rsid w:val="00F45867"/>
    <w:rsid w:val="00F50340"/>
    <w:rsid w:val="00F5140F"/>
    <w:rsid w:val="00F54BA2"/>
    <w:rsid w:val="00F553AA"/>
    <w:rsid w:val="00F605F5"/>
    <w:rsid w:val="00F628D2"/>
    <w:rsid w:val="00F63F5E"/>
    <w:rsid w:val="00F65E52"/>
    <w:rsid w:val="00F73CB8"/>
    <w:rsid w:val="00F762D7"/>
    <w:rsid w:val="00F90876"/>
    <w:rsid w:val="00FA28DB"/>
    <w:rsid w:val="00FA3C7B"/>
    <w:rsid w:val="00FA6707"/>
    <w:rsid w:val="00FA7535"/>
    <w:rsid w:val="00FB0D5C"/>
    <w:rsid w:val="00FB28D6"/>
    <w:rsid w:val="00FB7C18"/>
    <w:rsid w:val="00FB7E62"/>
    <w:rsid w:val="00FC06E3"/>
    <w:rsid w:val="00FC099A"/>
    <w:rsid w:val="00FC12F6"/>
    <w:rsid w:val="00FC23FC"/>
    <w:rsid w:val="00FC5FC4"/>
    <w:rsid w:val="00FD3319"/>
    <w:rsid w:val="00FD338E"/>
    <w:rsid w:val="00FE6ECE"/>
    <w:rsid w:val="00FE6F1D"/>
    <w:rsid w:val="00FF10B0"/>
    <w:rsid w:val="00FF1140"/>
    <w:rsid w:val="00FF33EA"/>
    <w:rsid w:val="00FF4634"/>
    <w:rsid w:val="06186A4D"/>
    <w:rsid w:val="2272AFC2"/>
    <w:rsid w:val="3704F628"/>
    <w:rsid w:val="4F8F922E"/>
    <w:rsid w:val="7AAD3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54461"/>
  <w15:chartTrackingRefBased/>
  <w15:docId w15:val="{622245B7-1A26-4DF3-96CE-71C54DD1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B75"/>
    <w:pPr>
      <w:spacing w:before="120" w:after="120" w:line="312" w:lineRule="auto"/>
    </w:pPr>
    <w:rPr>
      <w:rFonts w:ascii="Arial" w:eastAsiaTheme="minorHAnsi" w:hAnsi="Arial" w:cs="Calibri"/>
      <w:color w:val="000000" w:themeColor="text1"/>
      <w:szCs w:val="24"/>
    </w:rPr>
  </w:style>
  <w:style w:type="paragraph" w:styleId="Heading1">
    <w:name w:val="heading 1"/>
    <w:basedOn w:val="Normal"/>
    <w:next w:val="Normal"/>
    <w:link w:val="Heading1Char"/>
    <w:uiPriority w:val="9"/>
    <w:qFormat/>
    <w:rsid w:val="00F605F5"/>
    <w:pPr>
      <w:keepNext/>
      <w:keepLines/>
      <w:spacing w:before="240" w:line="256" w:lineRule="auto"/>
      <w:outlineLvl w:val="0"/>
    </w:pPr>
    <w:rPr>
      <w:rFonts w:asciiTheme="majorHAnsi" w:eastAsiaTheme="majorEastAsia" w:hAnsiTheme="majorHAnsi" w:cstheme="majorBidi"/>
      <w:color w:val="365F91" w:themeColor="accent1" w:themeShade="BF"/>
      <w:sz w:val="32"/>
      <w:szCs w:val="3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IB">
    <w:name w:val="EIB"/>
    <w:basedOn w:val="Normal"/>
    <w:link w:val="EIBChar"/>
    <w:autoRedefine/>
    <w:qFormat/>
    <w:rsid w:val="00676808"/>
    <w:pPr>
      <w:shd w:val="clear" w:color="auto" w:fill="FFFFFF"/>
      <w:spacing w:before="0" w:after="0" w:line="240" w:lineRule="auto"/>
      <w:jc w:val="both"/>
    </w:pPr>
    <w:rPr>
      <w:rFonts w:eastAsia="Times New Roman" w:cs="Arial"/>
      <w:color w:val="000000"/>
      <w:szCs w:val="21"/>
      <w:lang w:eastAsia="en-GB"/>
    </w:rPr>
  </w:style>
  <w:style w:type="character" w:customStyle="1" w:styleId="EIBChar">
    <w:name w:val="EIB Char"/>
    <w:basedOn w:val="DefaultParagraphFont"/>
    <w:link w:val="EIB"/>
    <w:rsid w:val="00676808"/>
    <w:rPr>
      <w:rFonts w:ascii="Arial" w:eastAsia="Times New Roman" w:hAnsi="Arial" w:cs="Arial"/>
      <w:color w:val="000000"/>
      <w:szCs w:val="21"/>
      <w:shd w:val="clear" w:color="auto" w:fill="FFFFFF"/>
      <w:lang w:eastAsia="en-GB"/>
    </w:rPr>
  </w:style>
  <w:style w:type="paragraph" w:customStyle="1" w:styleId="EIBTitle">
    <w:name w:val="EIB Title"/>
    <w:basedOn w:val="Normal"/>
    <w:link w:val="EIBTitleChar"/>
    <w:qFormat/>
    <w:rsid w:val="00676808"/>
    <w:pPr>
      <w:spacing w:before="0" w:after="0" w:line="240" w:lineRule="auto"/>
      <w:jc w:val="both"/>
    </w:pPr>
    <w:rPr>
      <w:rFonts w:eastAsia="Times New Roman" w:cs="Arial"/>
      <w:b/>
      <w:bCs/>
      <w:color w:val="auto"/>
      <w:sz w:val="24"/>
      <w:szCs w:val="20"/>
    </w:rPr>
  </w:style>
  <w:style w:type="character" w:customStyle="1" w:styleId="EIBTitleChar">
    <w:name w:val="EIB Title Char"/>
    <w:basedOn w:val="DefaultParagraphFont"/>
    <w:link w:val="EIBTitle"/>
    <w:rsid w:val="00676808"/>
    <w:rPr>
      <w:rFonts w:ascii="Arial" w:eastAsia="Times New Roman" w:hAnsi="Arial" w:cs="Arial"/>
      <w:b/>
      <w:bCs/>
      <w:sz w:val="24"/>
    </w:rPr>
  </w:style>
  <w:style w:type="paragraph" w:customStyle="1" w:styleId="EIBbullets">
    <w:name w:val="EIB bullets"/>
    <w:basedOn w:val="Normal"/>
    <w:link w:val="EIBbulletsChar"/>
    <w:qFormat/>
    <w:rsid w:val="00676808"/>
    <w:pPr>
      <w:numPr>
        <w:numId w:val="3"/>
      </w:numPr>
      <w:spacing w:before="0" w:after="0" w:line="240" w:lineRule="auto"/>
      <w:jc w:val="both"/>
    </w:pPr>
    <w:rPr>
      <w:rFonts w:eastAsia="Times New Roman" w:cs="Arial"/>
      <w:b/>
      <w:color w:val="000000"/>
      <w:sz w:val="21"/>
      <w:szCs w:val="21"/>
    </w:rPr>
  </w:style>
  <w:style w:type="character" w:customStyle="1" w:styleId="EIBbulletsChar">
    <w:name w:val="EIB bullets Char"/>
    <w:basedOn w:val="DefaultParagraphFont"/>
    <w:link w:val="EIBbullets"/>
    <w:rsid w:val="00676808"/>
    <w:rPr>
      <w:rFonts w:ascii="Arial" w:eastAsia="Times New Roman" w:hAnsi="Arial" w:cs="Arial"/>
      <w:b/>
      <w:color w:val="000000"/>
      <w:sz w:val="21"/>
      <w:szCs w:val="21"/>
      <w:lang w:val="en-US"/>
    </w:rPr>
  </w:style>
  <w:style w:type="paragraph" w:customStyle="1" w:styleId="EIBBackgroundContacts">
    <w:name w:val="EIB Background+Contacts"/>
    <w:basedOn w:val="Normal"/>
    <w:link w:val="EIBBackgroundContactsChar"/>
    <w:qFormat/>
    <w:rsid w:val="00676808"/>
    <w:pPr>
      <w:spacing w:before="0" w:after="0" w:line="240" w:lineRule="auto"/>
      <w:jc w:val="both"/>
    </w:pPr>
    <w:rPr>
      <w:rFonts w:eastAsia="Times New Roman" w:cs="Arial"/>
      <w:b/>
      <w:color w:val="000000"/>
      <w:sz w:val="22"/>
      <w:szCs w:val="22"/>
    </w:rPr>
  </w:style>
  <w:style w:type="character" w:customStyle="1" w:styleId="EIBBackgroundContactsChar">
    <w:name w:val="EIB Background+Contacts Char"/>
    <w:basedOn w:val="DefaultParagraphFont"/>
    <w:link w:val="EIBBackgroundContacts"/>
    <w:rsid w:val="00676808"/>
    <w:rPr>
      <w:rFonts w:ascii="Arial" w:eastAsia="Times New Roman" w:hAnsi="Arial" w:cs="Arial"/>
      <w:b/>
      <w:color w:val="000000"/>
      <w:sz w:val="22"/>
      <w:szCs w:val="22"/>
    </w:rPr>
  </w:style>
  <w:style w:type="character" w:customStyle="1" w:styleId="Heading1Char">
    <w:name w:val="Heading 1 Char"/>
    <w:basedOn w:val="DefaultParagraphFont"/>
    <w:link w:val="Heading1"/>
    <w:uiPriority w:val="9"/>
    <w:rsid w:val="00F605F5"/>
    <w:rPr>
      <w:rFonts w:asciiTheme="majorHAnsi" w:eastAsiaTheme="majorEastAsia" w:hAnsiTheme="majorHAnsi" w:cstheme="majorBidi"/>
      <w:color w:val="365F91" w:themeColor="accent1" w:themeShade="BF"/>
      <w:sz w:val="32"/>
      <w:szCs w:val="32"/>
      <w:lang w:val="fr-BE"/>
    </w:rPr>
  </w:style>
  <w:style w:type="character" w:styleId="Strong">
    <w:name w:val="Strong"/>
    <w:qFormat/>
    <w:rsid w:val="00F605F5"/>
    <w:rPr>
      <w:b/>
      <w:bCs/>
    </w:rPr>
  </w:style>
  <w:style w:type="paragraph" w:styleId="ListParagraph">
    <w:name w:val="List Paragraph"/>
    <w:aliases w:val="Numbered Paragraph,# pharagraph,123 List Paragraph,Main numbered paragraph,References,Numbered List Paragraph,Bullets,List Paragraph (numbered (a)),List Paragraph nowy,Liste 1,List_Paragraph,Multilevel para_II,List Paragraph1,Bullet paras"/>
    <w:basedOn w:val="Normal"/>
    <w:link w:val="ListParagraphChar"/>
    <w:uiPriority w:val="34"/>
    <w:qFormat/>
    <w:rsid w:val="00F605F5"/>
    <w:pPr>
      <w:spacing w:after="200" w:line="276" w:lineRule="auto"/>
      <w:ind w:left="720"/>
      <w:contextualSpacing/>
    </w:pPr>
    <w:rPr>
      <w:rFonts w:cs="Arial"/>
      <w:lang w:eastAsia="en-GB"/>
    </w:rPr>
  </w:style>
  <w:style w:type="character" w:customStyle="1" w:styleId="ListParagraphChar">
    <w:name w:val="List Paragraph Char"/>
    <w:aliases w:val="Numbered Paragraph Char,# pharagraph Char,123 List Paragraph Char,Main numbered paragraph Char,References Char,Numbered List Paragraph Char,Bullets Char,List Paragraph (numbered (a)) Char,List Paragraph nowy Char,Liste 1 Char"/>
    <w:link w:val="ListParagraph"/>
    <w:uiPriority w:val="34"/>
    <w:qFormat/>
    <w:locked/>
    <w:rsid w:val="00F605F5"/>
    <w:rPr>
      <w:rFonts w:ascii="Arial" w:hAnsi="Arial" w:cs="Arial"/>
      <w:lang w:eastAsia="en-GB"/>
    </w:rPr>
  </w:style>
  <w:style w:type="table" w:styleId="TableGrid">
    <w:name w:val="Table Grid"/>
    <w:basedOn w:val="TableNormal"/>
    <w:uiPriority w:val="59"/>
    <w:rsid w:val="001C2CE7"/>
    <w:pPr>
      <w:spacing w:line="312" w:lineRule="auto"/>
    </w:pPr>
    <w:rPr>
      <w:rFonts w:asciiTheme="minorHAnsi" w:eastAsiaTheme="minorHAnsi" w:hAnsiTheme="minorHAnsi" w:cstheme="minorBidi"/>
      <w:color w:val="000000" w:themeColor="text1"/>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qFormat/>
    <w:rsid w:val="001C2CE7"/>
    <w:pPr>
      <w:spacing w:before="360"/>
      <w:jc w:val="right"/>
    </w:pPr>
    <w:rPr>
      <w:b/>
      <w:color w:val="1F497D" w:themeColor="text2"/>
      <w:sz w:val="36"/>
      <w:szCs w:val="36"/>
    </w:rPr>
  </w:style>
  <w:style w:type="paragraph" w:styleId="Header">
    <w:name w:val="header"/>
    <w:basedOn w:val="Normal"/>
    <w:link w:val="HeaderChar"/>
    <w:uiPriority w:val="99"/>
    <w:unhideWhenUsed/>
    <w:rsid w:val="001C2CE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C2CE7"/>
    <w:rPr>
      <w:rFonts w:ascii="Arial" w:eastAsiaTheme="minorHAnsi" w:hAnsi="Arial" w:cs="Calibri"/>
      <w:color w:val="000000" w:themeColor="text1"/>
      <w:szCs w:val="24"/>
      <w:lang w:val="en-US"/>
    </w:rPr>
  </w:style>
  <w:style w:type="paragraph" w:styleId="Footer">
    <w:name w:val="footer"/>
    <w:basedOn w:val="Normal"/>
    <w:link w:val="FooterChar"/>
    <w:uiPriority w:val="99"/>
    <w:unhideWhenUsed/>
    <w:rsid w:val="001C2CE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C2CE7"/>
    <w:rPr>
      <w:rFonts w:ascii="Arial" w:eastAsiaTheme="minorHAnsi" w:hAnsi="Arial" w:cs="Calibri"/>
      <w:color w:val="000000" w:themeColor="text1"/>
      <w:szCs w:val="24"/>
      <w:lang w:val="en-US"/>
    </w:rPr>
  </w:style>
  <w:style w:type="character" w:styleId="Hyperlink">
    <w:name w:val="Hyperlink"/>
    <w:basedOn w:val="DefaultParagraphFont"/>
    <w:uiPriority w:val="99"/>
    <w:unhideWhenUsed/>
    <w:rsid w:val="00676808"/>
    <w:rPr>
      <w:color w:val="1F497D" w:themeColor="text2"/>
      <w:sz w:val="20"/>
      <w:u w:val="single"/>
    </w:rPr>
  </w:style>
  <w:style w:type="paragraph" w:styleId="NormalWeb">
    <w:name w:val="Normal (Web)"/>
    <w:basedOn w:val="Normal"/>
    <w:uiPriority w:val="99"/>
    <w:unhideWhenUsed/>
    <w:rsid w:val="00676808"/>
    <w:rPr>
      <w:rFonts w:ascii="Times New Roman" w:hAnsi="Times New Roman" w:cs="Times New Roman"/>
    </w:rPr>
  </w:style>
  <w:style w:type="paragraph" w:customStyle="1" w:styleId="Default">
    <w:name w:val="Default"/>
    <w:rsid w:val="00676808"/>
    <w:pPr>
      <w:autoSpaceDE w:val="0"/>
      <w:autoSpaceDN w:val="0"/>
      <w:adjustRightInd w:val="0"/>
    </w:pPr>
    <w:rPr>
      <w:rFonts w:ascii="Myriad Pro" w:eastAsiaTheme="minorHAnsi" w:hAnsi="Myriad Pro" w:cs="Myriad Pro"/>
      <w:color w:val="000000"/>
      <w:sz w:val="24"/>
      <w:szCs w:val="24"/>
    </w:rPr>
  </w:style>
  <w:style w:type="character" w:styleId="UnresolvedMention">
    <w:name w:val="Unresolved Mention"/>
    <w:basedOn w:val="DefaultParagraphFont"/>
    <w:uiPriority w:val="99"/>
    <w:semiHidden/>
    <w:unhideWhenUsed/>
    <w:rsid w:val="00676808"/>
    <w:rPr>
      <w:color w:val="605E5C"/>
      <w:shd w:val="clear" w:color="auto" w:fill="E1DFDD"/>
    </w:rPr>
  </w:style>
  <w:style w:type="character" w:customStyle="1" w:styleId="EIBtitleChar0">
    <w:name w:val="EIB title Char"/>
    <w:basedOn w:val="DefaultParagraphFont"/>
    <w:link w:val="EIBtitle0"/>
    <w:locked/>
    <w:rsid w:val="00C00B75"/>
    <w:rPr>
      <w:rFonts w:ascii="Arial" w:eastAsia="Times New Roman" w:hAnsi="Arial" w:cs="Arial"/>
      <w:b/>
      <w:bCs/>
      <w:sz w:val="28"/>
      <w:lang w:val="fr-BE"/>
    </w:rPr>
  </w:style>
  <w:style w:type="paragraph" w:customStyle="1" w:styleId="EIBtitle0">
    <w:name w:val="EIB title"/>
    <w:basedOn w:val="Normal"/>
    <w:link w:val="EIBtitleChar0"/>
    <w:qFormat/>
    <w:rsid w:val="00C00B75"/>
    <w:pPr>
      <w:spacing w:before="0" w:after="0" w:line="240" w:lineRule="auto"/>
    </w:pPr>
    <w:rPr>
      <w:rFonts w:eastAsia="Times New Roman" w:cs="Arial"/>
      <w:b/>
      <w:bCs/>
      <w:color w:val="auto"/>
      <w:sz w:val="28"/>
      <w:szCs w:val="20"/>
      <w:lang w:val="fr-BE"/>
    </w:rPr>
  </w:style>
  <w:style w:type="paragraph" w:customStyle="1" w:styleId="paragraph">
    <w:name w:val="paragraph"/>
    <w:basedOn w:val="Normal"/>
    <w:rsid w:val="0081228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812281"/>
  </w:style>
  <w:style w:type="character" w:customStyle="1" w:styleId="eop">
    <w:name w:val="eop"/>
    <w:basedOn w:val="DefaultParagraphFont"/>
    <w:rsid w:val="00812281"/>
  </w:style>
  <w:style w:type="character" w:customStyle="1" w:styleId="ui-provider">
    <w:name w:val="ui-provider"/>
    <w:basedOn w:val="DefaultParagraphFont"/>
    <w:rsid w:val="00812281"/>
  </w:style>
  <w:style w:type="character" w:styleId="CommentReference">
    <w:name w:val="annotation reference"/>
    <w:basedOn w:val="DefaultParagraphFont"/>
    <w:uiPriority w:val="99"/>
    <w:semiHidden/>
    <w:unhideWhenUsed/>
    <w:rsid w:val="00805374"/>
    <w:rPr>
      <w:sz w:val="16"/>
      <w:szCs w:val="16"/>
    </w:rPr>
  </w:style>
  <w:style w:type="paragraph" w:styleId="CommentText">
    <w:name w:val="annotation text"/>
    <w:basedOn w:val="Normal"/>
    <w:link w:val="CommentTextChar"/>
    <w:uiPriority w:val="99"/>
    <w:unhideWhenUsed/>
    <w:rsid w:val="00805374"/>
    <w:pPr>
      <w:spacing w:line="240" w:lineRule="auto"/>
    </w:pPr>
    <w:rPr>
      <w:szCs w:val="20"/>
    </w:rPr>
  </w:style>
  <w:style w:type="character" w:customStyle="1" w:styleId="CommentTextChar">
    <w:name w:val="Comment Text Char"/>
    <w:basedOn w:val="DefaultParagraphFont"/>
    <w:link w:val="CommentText"/>
    <w:uiPriority w:val="99"/>
    <w:rsid w:val="00805374"/>
    <w:rPr>
      <w:rFonts w:ascii="Arial" w:eastAsiaTheme="minorHAnsi" w:hAnsi="Arial" w:cs="Calibri"/>
      <w:color w:val="000000" w:themeColor="text1"/>
    </w:rPr>
  </w:style>
  <w:style w:type="paragraph" w:styleId="CommentSubject">
    <w:name w:val="annotation subject"/>
    <w:basedOn w:val="CommentText"/>
    <w:next w:val="CommentText"/>
    <w:link w:val="CommentSubjectChar"/>
    <w:uiPriority w:val="99"/>
    <w:semiHidden/>
    <w:unhideWhenUsed/>
    <w:rsid w:val="009C0098"/>
    <w:rPr>
      <w:b/>
      <w:bCs/>
    </w:rPr>
  </w:style>
  <w:style w:type="character" w:customStyle="1" w:styleId="CommentSubjectChar">
    <w:name w:val="Comment Subject Char"/>
    <w:basedOn w:val="CommentTextChar"/>
    <w:link w:val="CommentSubject"/>
    <w:uiPriority w:val="99"/>
    <w:semiHidden/>
    <w:rsid w:val="009C0098"/>
    <w:rPr>
      <w:rFonts w:ascii="Arial" w:eastAsiaTheme="minorHAnsi" w:hAnsi="Arial" w:cs="Calibri"/>
      <w:b/>
      <w:bCs/>
      <w:color w:val="000000" w:themeColor="text1"/>
    </w:rPr>
  </w:style>
  <w:style w:type="paragraph" w:styleId="Revision">
    <w:name w:val="Revision"/>
    <w:hidden/>
    <w:uiPriority w:val="99"/>
    <w:semiHidden/>
    <w:rsid w:val="004B09AD"/>
    <w:rPr>
      <w:rFonts w:ascii="Arial" w:eastAsiaTheme="minorHAnsi" w:hAnsi="Arial" w:cs="Calibri"/>
      <w:color w:val="000000" w:themeColor="text1"/>
      <w:szCs w:val="24"/>
    </w:rPr>
  </w:style>
  <w:style w:type="paragraph" w:customStyle="1" w:styleId="Bullet">
    <w:name w:val="Bullet"/>
    <w:basedOn w:val="Normal"/>
    <w:qFormat/>
    <w:rsid w:val="00867711"/>
    <w:pPr>
      <w:numPr>
        <w:numId w:val="10"/>
      </w:numPr>
      <w:spacing w:before="40" w:after="40" w:line="240" w:lineRule="auto"/>
      <w:ind w:left="284" w:hanging="284"/>
    </w:pPr>
    <w:rPr>
      <w:rFonts w:asciiTheme="minorHAnsi" w:hAnsiTheme="minorHAnsi" w:cstheme="minorBidi"/>
      <w:color w:val="auto"/>
      <w:szCs w:val="22"/>
      <w:lang w:val="de-AT"/>
    </w:rPr>
  </w:style>
  <w:style w:type="numbering" w:customStyle="1" w:styleId="Bulletliste">
    <w:name w:val="Bulletliste"/>
    <w:uiPriority w:val="99"/>
    <w:rsid w:val="0086771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18882">
      <w:bodyDiv w:val="1"/>
      <w:marLeft w:val="0"/>
      <w:marRight w:val="0"/>
      <w:marTop w:val="0"/>
      <w:marBottom w:val="0"/>
      <w:divBdr>
        <w:top w:val="none" w:sz="0" w:space="0" w:color="auto"/>
        <w:left w:val="none" w:sz="0" w:space="0" w:color="auto"/>
        <w:bottom w:val="none" w:sz="0" w:space="0" w:color="auto"/>
        <w:right w:val="none" w:sz="0" w:space="0" w:color="auto"/>
      </w:divBdr>
    </w:div>
    <w:div w:id="816536423">
      <w:bodyDiv w:val="1"/>
      <w:marLeft w:val="0"/>
      <w:marRight w:val="0"/>
      <w:marTop w:val="0"/>
      <w:marBottom w:val="0"/>
      <w:divBdr>
        <w:top w:val="none" w:sz="0" w:space="0" w:color="auto"/>
        <w:left w:val="none" w:sz="0" w:space="0" w:color="auto"/>
        <w:bottom w:val="none" w:sz="0" w:space="0" w:color="auto"/>
        <w:right w:val="none" w:sz="0" w:space="0" w:color="auto"/>
      </w:divBdr>
    </w:div>
    <w:div w:id="162865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ib.org/en/about/key-figures/index" TargetMode="External"/><Relationship Id="rId18" Type="http://schemas.openxmlformats.org/officeDocument/2006/relationships/hyperlink" Target="https://www.eib.org/en/_generic/dynamic-page/preview/landing/6fd3e1d7-0666-499d-8941-f7d64462d841?code=148d26446d7f-1498-d994-6660-7d1e3df6" TargetMode="External"/><Relationship Id="rId26" Type="http://schemas.openxmlformats.org/officeDocument/2006/relationships/image" Target="media/image4.gif"/><Relationship Id="rId39" Type="http://schemas.openxmlformats.org/officeDocument/2006/relationships/image" Target="cid:image007.gif@01DB8E66.2BDF8980" TargetMode="External"/><Relationship Id="rId21" Type="http://schemas.openxmlformats.org/officeDocument/2006/relationships/hyperlink" Target="mailto:press@eib.org" TargetMode="External"/><Relationship Id="rId34" Type="http://schemas.openxmlformats.org/officeDocument/2006/relationships/hyperlink" Target="https://eur05.safelinks.protection.outlook.com/?url=https://whatsapp.com/channel/0029VaAMHR12kNFwddDgU20r&amp;data=05|02|d.kozak@ext.eib.org|6b69def56e6640e2a50a08dd5c74eeba|0b96d5d2d1534370a2c78a926f24c8a1|1|0|638768379928750348|Unknown|TWFpbGZsb3d8eyJFbXB0eU1hcGkiOnRydWUsIlYiOiIwLjAuMDAwMCIsIlAiOiJXaW4zMiIsIkFOIjoiTWFpbCIsIldUIjoyfQ%3D%3D|0|||&amp;sdata=CndP6rEO5RJHBtai3CWywHbjtD2VY/E6m5P4PYqpZBA%3D&amp;reserved=0" TargetMode="External"/><Relationship Id="rId42" Type="http://schemas.openxmlformats.org/officeDocument/2006/relationships/image" Target="cid:image008.gif@01DB8E66.2BDF8980" TargetMode="External"/><Relationship Id="rId47" Type="http://schemas.openxmlformats.org/officeDocument/2006/relationships/image" Target="media/image11.gif"/><Relationship Id="rId50"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eib.org/en/about/at-a-glance/index.htm" TargetMode="External"/><Relationship Id="rId29" Type="http://schemas.openxmlformats.org/officeDocument/2006/relationships/image" Target="media/image5.gif"/><Relationship Id="rId11" Type="http://schemas.openxmlformats.org/officeDocument/2006/relationships/image" Target="media/image2.png"/><Relationship Id="rId24" Type="http://schemas.openxmlformats.org/officeDocument/2006/relationships/image" Target="cid:image002.gif@01DB8E66.2BDF8980" TargetMode="External"/><Relationship Id="rId32" Type="http://schemas.openxmlformats.org/officeDocument/2006/relationships/image" Target="media/image6.gif"/><Relationship Id="rId37" Type="http://schemas.openxmlformats.org/officeDocument/2006/relationships/hyperlink" Target="https://eur05.safelinks.protection.outlook.com/?url=http://www.facebook.com/EuropeanInvestmentBank&amp;data=05|02|d.kozak@ext.eib.org|6b69def56e6640e2a50a08dd5c74eeba|0b96d5d2d1534370a2c78a926f24c8a1|1|0|638768379928762522|Unknown|TWFpbGZsb3d8eyJFbXB0eU1hcGkiOnRydWUsIlYiOiIwLjAuMDAwMCIsIlAiOiJXaW4zMiIsIkFOIjoiTWFpbCIsIldUIjoyfQ%3D%3D|0|||&amp;sdata=1TRHBrtyvZ7IJAEQWI6VoRyv7doFyLF0lgF6c04p6vU%3D&amp;reserved=0" TargetMode="External"/><Relationship Id="rId40" Type="http://schemas.openxmlformats.org/officeDocument/2006/relationships/hyperlink" Target="https://eur05.safelinks.protection.outlook.com/?url=https://x.com/EIB&amp;data=05|02|d.kozak@ext.eib.org|6b69def56e6640e2a50a08dd5c74eeba|0b96d5d2d1534370a2c78a926f24c8a1|1|0|638768379928774060|Unknown|TWFpbGZsb3d8eyJFbXB0eU1hcGkiOnRydWUsIlYiOiIwLjAuMDAwMCIsIlAiOiJXaW4zMiIsIkFOIjoiTWFpbCIsIldUIjoyfQ%3D%3D|0|||&amp;sdata=BgDSRr/krOo99LqiJFVJo0%2Br7BSt/hOd29G%2BIQw9Zoo%3D&amp;reserved=0" TargetMode="External"/><Relationship Id="rId45" Type="http://schemas.openxmlformats.org/officeDocument/2006/relationships/image" Target="cid:image009.gif@01DB8E66.2BDF8980"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hyperlink" Target="mailto:c.wanjek-bauer@ext.eib.org" TargetMode="External"/><Relationship Id="rId31" Type="http://schemas.openxmlformats.org/officeDocument/2006/relationships/hyperlink" Target="https://eur05.safelinks.protection.outlook.com/?url=https://www.threads.net/@europeaninvestmentbank&amp;data=05|02|d.kozak@ext.eib.org|6b69def56e6640e2a50a08dd5c74eeba|0b96d5d2d1534370a2c78a926f24c8a1|1|0|638768379928736042|Unknown|TWFpbGZsb3d8eyJFbXB0eU1hcGkiOnRydWUsIlYiOiIwLjAuMDAwMCIsIlAiOiJXaW4zMiIsIkFOIjoiTWFpbCIsIldUIjoyfQ%3D%3D|0|||&amp;sdata=N3n1xyWFaTFT1U5IfkWC49A0eurMZ/96edo7blF6P6k%3D&amp;reserved=0" TargetMode="External"/><Relationship Id="rId44" Type="http://schemas.openxmlformats.org/officeDocument/2006/relationships/image" Target="media/image10.gif"/><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ib.org/en/about/key-figures/index" TargetMode="External"/><Relationship Id="rId22" Type="http://schemas.openxmlformats.org/officeDocument/2006/relationships/hyperlink" Target="https://eur05.safelinks.protection.outlook.com/?url=http://www.linkedin.com/company/9360&amp;data=05|02|d.kozak@ext.eib.org|6b69def56e6640e2a50a08dd5c74eeba|0b96d5d2d1534370a2c78a926f24c8a1|1|0|638768379928699550|Unknown|TWFpbGZsb3d8eyJFbXB0eU1hcGkiOnRydWUsIlYiOiIwLjAuMDAwMCIsIlAiOiJXaW4zMiIsIkFOIjoiTWFpbCIsIldUIjoyfQ%3D%3D|0|||&amp;sdata=WpGNWdRQ1C9/6iAHYaCpqalaywf%2BLCReheSoW%2B2V7CI%3D&amp;reserved=0" TargetMode="External"/><Relationship Id="rId27" Type="http://schemas.openxmlformats.org/officeDocument/2006/relationships/image" Target="cid:image003.gif@01DB8E66.2BDF8980" TargetMode="External"/><Relationship Id="rId30" Type="http://schemas.openxmlformats.org/officeDocument/2006/relationships/image" Target="cid:image004.gif@01DB8E66.2BDF8980" TargetMode="External"/><Relationship Id="rId35" Type="http://schemas.openxmlformats.org/officeDocument/2006/relationships/image" Target="media/image7.gif"/><Relationship Id="rId43" Type="http://schemas.openxmlformats.org/officeDocument/2006/relationships/hyperlink" Target="https://eur05.safelinks.protection.outlook.com/?url=https://www.youtube.com/user/EIBtheEUbank&amp;data=05|02|d.kozak@ext.eib.org|6b69def56e6640e2a50a08dd5c74eeba|0b96d5d2d1534370a2c78a926f24c8a1|1|0|638768379928785562|Unknown|TWFpbGZsb3d8eyJFbXB0eU1hcGkiOnRydWUsIlYiOiIwLjAuMDAwMCIsIlAiOiJXaW4zMiIsIkFOIjoiTWFpbCIsIldUIjoyfQ%3D%3D|0|||&amp;sdata=6odVIDlu/glBJ9xNLgEwj4JA7Hb6c8B27xj8AikdH%2BY%3D&amp;reserved=0" TargetMode="External"/><Relationship Id="rId48" Type="http://schemas.openxmlformats.org/officeDocument/2006/relationships/image" Target="cid:image010.gif@01DB8E66.2BDF8980" TargetMode="Externa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eib.org" TargetMode="External"/><Relationship Id="rId17" Type="http://schemas.openxmlformats.org/officeDocument/2006/relationships/hyperlink" Target="https://www.eif.org/index.htm" TargetMode="External"/><Relationship Id="rId25" Type="http://schemas.openxmlformats.org/officeDocument/2006/relationships/hyperlink" Target="https://eur05.safelinks.protection.outlook.com/?url=https://www.instagram.com/europeaninvestmentbank/&amp;data=05|02|d.kozak@ext.eib.org|6b69def56e6640e2a50a08dd5c74eeba|0b96d5d2d1534370a2c78a926f24c8a1|1|0|638768379928711634|Unknown|TWFpbGZsb3d8eyJFbXB0eU1hcGkiOnRydWUsIlYiOiIwLjAuMDAwMCIsIlAiOiJXaW4zMiIsIkFOIjoiTWFpbCIsIldUIjoyfQ%3D%3D|0|||&amp;sdata=SxEb%2BsLuWue72DZEGdMwwSRgcc2oVPc6Ynesj5H0Fss%3D&amp;reserved=0" TargetMode="External"/><Relationship Id="rId33" Type="http://schemas.openxmlformats.org/officeDocument/2006/relationships/image" Target="cid:image005.gif@01DB8E66.2BDF8980" TargetMode="External"/><Relationship Id="rId38" Type="http://schemas.openxmlformats.org/officeDocument/2006/relationships/image" Target="media/image8.gif"/><Relationship Id="rId46" Type="http://schemas.openxmlformats.org/officeDocument/2006/relationships/hyperlink" Target="http://www.eib.org/infocentre/rss/index.htm" TargetMode="External"/><Relationship Id="rId20" Type="http://schemas.openxmlformats.org/officeDocument/2006/relationships/hyperlink" Target="http://www.eib.org/press" TargetMode="External"/><Relationship Id="rId41" Type="http://schemas.openxmlformats.org/officeDocument/2006/relationships/image" Target="media/image9.gif"/><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eib.org/en/about/at-a-glance/eib-core-strategic-priorities" TargetMode="External"/><Relationship Id="rId23" Type="http://schemas.openxmlformats.org/officeDocument/2006/relationships/image" Target="media/image3.gif"/><Relationship Id="rId28" Type="http://schemas.openxmlformats.org/officeDocument/2006/relationships/hyperlink" Target="https://eur05.safelinks.protection.outlook.com/?url=https://bsky.app/profile/eib.org&amp;data=05|02|d.kozak@ext.eib.org|6b69def56e6640e2a50a08dd5c74eeba|0b96d5d2d1534370a2c78a926f24c8a1|1|0|638768379928723342|Unknown|TWFpbGZsb3d8eyJFbXB0eU1hcGkiOnRydWUsIlYiOiIwLjAuMDAwMCIsIlAiOiJXaW4zMiIsIkFOIjoiTWFpbCIsIldUIjoyfQ%3D%3D|0|||&amp;sdata=lQ1lxjn75cUD0HLfGkZv5CQjF/Jzx/QEf1MRMsNt4ao%3D&amp;reserved=0" TargetMode="External"/><Relationship Id="rId36" Type="http://schemas.openxmlformats.org/officeDocument/2006/relationships/image" Target="cid:image006.gif@01DB8E66.2BDF8980" TargetMode="External"/><Relationship Id="rId49" Type="http://schemas.openxmlformats.org/officeDocument/2006/relationships/hyperlink" Target="http://www.om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ab71760-5bf0-43fa-bbd3-92495903ff24" xsi:nil="true"/>
    <lcf76f155ced4ddcb4097134ff3c332f xmlns="b88a794c-53af-46f8-bf42-80b7c5c5d17a">
      <Terms xmlns="http://schemas.microsoft.com/office/infopath/2007/PartnerControls"/>
    </lcf76f155ced4ddcb4097134ff3c332f>
    <Priority xmlns="b88a794c-53af-46f8-bf42-80b7c5c5d17a" xsi:nil="true"/>
    <SabineattheAnnualPressConference xmlns="b88a794c-53af-46f8-bf42-80b7c5c5d1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6236739B56194F8ED8CDA6118C2021" ma:contentTypeVersion="29" ma:contentTypeDescription="Create a new document." ma:contentTypeScope="" ma:versionID="c95582964b264abd3981f03fe3b26576">
  <xsd:schema xmlns:xsd="http://www.w3.org/2001/XMLSchema" xmlns:xs="http://www.w3.org/2001/XMLSchema" xmlns:p="http://schemas.microsoft.com/office/2006/metadata/properties" xmlns:ns1="http://schemas.microsoft.com/sharepoint/v3" xmlns:ns2="b88a794c-53af-46f8-bf42-80b7c5c5d17a" xmlns:ns3="fab71760-5bf0-43fa-bbd3-92495903ff24" targetNamespace="http://schemas.microsoft.com/office/2006/metadata/properties" ma:root="true" ma:fieldsID="9e4f32fdeb2f56cfae2e1d5b380bf684" ns1:_="" ns2:_="" ns3:_="">
    <xsd:import namespace="http://schemas.microsoft.com/sharepoint/v3"/>
    <xsd:import namespace="b88a794c-53af-46f8-bf42-80b7c5c5d17a"/>
    <xsd:import namespace="fab71760-5bf0-43fa-bbd3-92495903ff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element ref="ns2:Priority" minOccurs="0"/>
                <xsd:element ref="ns2:SabineattheAnnualPressCon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8a794c-53af-46f8-bf42-80b7c5c5d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be2620-ddc3-491e-8f12-d8e8b62fa00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riority" ma:index="26" nillable="true" ma:displayName="Priority" ma:format="Dropdown" ma:internalName="Priority">
      <xsd:simpleType>
        <xsd:restriction base="dms:Choice">
          <xsd:enumeration value="Agriculture &amp; Bioeconomy"/>
          <xsd:enumeration value="Climate"/>
          <xsd:enumeration value="Innovation &amp; digitalisation"/>
          <xsd:enumeration value="Cohesion"/>
          <xsd:enumeration value="Capital Markets Union"/>
          <xsd:enumeration value="Global"/>
          <xsd:enumeration value="Security &amp; Defence"/>
          <xsd:enumeration value="Social infrastructure"/>
          <xsd:enumeration value="Multiple"/>
        </xsd:restriction>
      </xsd:simpleType>
    </xsd:element>
    <xsd:element name="SabineattheAnnualPressConference" ma:index="27" nillable="true" ma:displayName="Notes" ma:format="Dropdown" ma:internalName="SabineattheAnnualPressConferenc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b71760-5bf0-43fa-bbd3-92495903ff2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8149251-e70e-4af5-887f-4f49b9d5847a}" ma:internalName="TaxCatchAll" ma:showField="CatchAllData" ma:web="fab71760-5bf0-43fa-bbd3-92495903ff2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B6DEBB-0E80-43AF-8DDC-12FF81CD54D2}">
  <ds:schemaRefs>
    <ds:schemaRef ds:uri="http://schemas.microsoft.com/office/2006/metadata/properties"/>
    <ds:schemaRef ds:uri="http://schemas.microsoft.com/office/infopath/2007/PartnerControls"/>
    <ds:schemaRef ds:uri="http://schemas.microsoft.com/sharepoint/v3"/>
    <ds:schemaRef ds:uri="fab71760-5bf0-43fa-bbd3-92495903ff24"/>
    <ds:schemaRef ds:uri="b88a794c-53af-46f8-bf42-80b7c5c5d17a"/>
  </ds:schemaRefs>
</ds:datastoreItem>
</file>

<file path=customXml/itemProps2.xml><?xml version="1.0" encoding="utf-8"?>
<ds:datastoreItem xmlns:ds="http://schemas.openxmlformats.org/officeDocument/2006/customXml" ds:itemID="{4DA7320C-F445-42E3-94C2-16C7FDE0F43B}">
  <ds:schemaRefs>
    <ds:schemaRef ds:uri="http://schemas.microsoft.com/sharepoint/v3/contenttype/forms"/>
  </ds:schemaRefs>
</ds:datastoreItem>
</file>

<file path=customXml/itemProps3.xml><?xml version="1.0" encoding="utf-8"?>
<ds:datastoreItem xmlns:ds="http://schemas.openxmlformats.org/officeDocument/2006/customXml" ds:itemID="{03D1FB53-0065-4225-B6CE-174B0A125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8a794c-53af-46f8-bf42-80b7c5c5d17a"/>
    <ds:schemaRef ds:uri="fab71760-5bf0-43fa-bbd3-92495903f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6429</Characters>
  <Application>Microsoft Office Word</Application>
  <DocSecurity>0</DocSecurity>
  <Lines>110</Lines>
  <Paragraphs>27</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dc:creator>
  <cp:keywords/>
  <dc:description/>
  <cp:lastModifiedBy>PAQUET Beatrice</cp:lastModifiedBy>
  <cp:revision>3</cp:revision>
  <cp:lastPrinted>2026-07-09T07:15:00Z</cp:lastPrinted>
  <dcterms:created xsi:type="dcterms:W3CDTF">2026-07-13T08:23:00Z</dcterms:created>
  <dcterms:modified xsi:type="dcterms:W3CDTF">2026-07-13T08:25:00Z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b66c57-0888-49c5-9c42-f8765a044c7f_Enabled">
    <vt:lpwstr>true</vt:lpwstr>
  </property>
  <property fmtid="{D5CDD505-2E9C-101B-9397-08002B2CF9AE}" pid="3" name="MSIP_Label_a2b66c57-0888-49c5-9c42-f8765a044c7f_SetDate">
    <vt:lpwstr>2023-04-05T20:05:01Z</vt:lpwstr>
  </property>
  <property fmtid="{D5CDD505-2E9C-101B-9397-08002B2CF9AE}" pid="4" name="MSIP_Label_a2b66c57-0888-49c5-9c42-f8765a044c7f_Method">
    <vt:lpwstr>Privileged</vt:lpwstr>
  </property>
  <property fmtid="{D5CDD505-2E9C-101B-9397-08002B2CF9AE}" pid="5" name="MSIP_Label_a2b66c57-0888-49c5-9c42-f8765a044c7f_Name">
    <vt:lpwstr>Default Public</vt:lpwstr>
  </property>
  <property fmtid="{D5CDD505-2E9C-101B-9397-08002B2CF9AE}" pid="6" name="MSIP_Label_a2b66c57-0888-49c5-9c42-f8765a044c7f_SiteId">
    <vt:lpwstr>0b96d5d2-d153-4370-a2c7-8a926f24c8a1</vt:lpwstr>
  </property>
  <property fmtid="{D5CDD505-2E9C-101B-9397-08002B2CF9AE}" pid="7" name="MSIP_Label_a2b66c57-0888-49c5-9c42-f8765a044c7f_ActionId">
    <vt:lpwstr>15db6806-8c1c-425e-8e30-78ce310d3b55</vt:lpwstr>
  </property>
  <property fmtid="{D5CDD505-2E9C-101B-9397-08002B2CF9AE}" pid="8" name="MSIP_Label_a2b66c57-0888-49c5-9c42-f8765a044c7f_ContentBits">
    <vt:lpwstr>1</vt:lpwstr>
  </property>
  <property fmtid="{D5CDD505-2E9C-101B-9397-08002B2CF9AE}" pid="9" name="ContentTypeId">
    <vt:lpwstr>0x0101002D6236739B56194F8ED8CDA6118C2021</vt:lpwstr>
  </property>
  <property fmtid="{D5CDD505-2E9C-101B-9397-08002B2CF9AE}" pid="10" name="MediaServiceImageTags">
    <vt:lpwstr/>
  </property>
  <property fmtid="{D5CDD505-2E9C-101B-9397-08002B2CF9AE}" pid="11" name="docLang">
    <vt:lpwstr>en</vt:lpwstr>
  </property>
</Properties>
</file>