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5C84" w:rsidRDefault="002B5C84">
      <w:r w:rsidRPr="004A4D50">
        <w:rPr>
          <w:rFonts w:ascii="Arial" w:hAnsi="Arial" w:cs="Arial"/>
          <w:b/>
          <w:noProof/>
          <w:sz w:val="8"/>
          <w:szCs w:val="8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E870B5" wp14:editId="4638B5CE">
                <wp:simplePos x="0" y="0"/>
                <wp:positionH relativeFrom="page">
                  <wp:posOffset>514350</wp:posOffset>
                </wp:positionH>
                <wp:positionV relativeFrom="page">
                  <wp:posOffset>457200</wp:posOffset>
                </wp:positionV>
                <wp:extent cx="6522720" cy="904875"/>
                <wp:effectExtent l="0" t="0" r="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720" cy="904875"/>
                          <a:chOff x="330" y="308"/>
                          <a:chExt cx="11586" cy="83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77" y="360"/>
                            <a:ext cx="9346" cy="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80"/>
                              </a:gs>
                              <a:gs pos="100000">
                                <a:srgbClr val="000080">
                                  <a:gamma/>
                                  <a:tint val="63922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DF4" w:rsidRDefault="002B5C84" w:rsidP="002B5C84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Land and Buildings Transaction Tax</w:t>
                              </w:r>
                            </w:p>
                            <w:p w:rsidR="002B5C84" w:rsidRDefault="002B5C84" w:rsidP="002B5C84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 – R</w:t>
                              </w:r>
                              <w:r w:rsidR="008C7DF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esidential 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ates and bands</w:t>
                              </w:r>
                            </w:p>
                            <w:p w:rsidR="002B5C84" w:rsidRPr="00EB37F5" w:rsidRDefault="002B5C84" w:rsidP="002B5C84">
                              <w:pPr>
                                <w:pStyle w:val="Header"/>
                                <w:jc w:val="right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8"/>
                                  <w:szCs w:val="8"/>
                                </w:rPr>
                              </w:pPr>
                            </w:p>
                            <w:p w:rsidR="002B5C84" w:rsidRPr="00202153" w:rsidRDefault="002B5C84" w:rsidP="002B5C84">
                              <w:pPr>
                                <w:pStyle w:val="Header"/>
                                <w:jc w:val="right"/>
                                <w:rPr>
                                  <w:rFonts w:ascii="Arial" w:hAnsi="Arial" w:cs="Arial"/>
                                  <w:b/>
                                  <w:color w:val="FFFFFF"/>
                                  <w:szCs w:val="24"/>
                                </w:rPr>
                              </w:pPr>
                              <w:r w:rsidRPr="00202153">
                                <w:rPr>
                                  <w:rFonts w:ascii="Arial" w:hAnsi="Arial" w:cs="Arial"/>
                                  <w:b/>
                                  <w:color w:val="FFFFFF"/>
                                  <w:szCs w:val="24"/>
                                </w:rPr>
                                <w:t>Scottish Government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763" y="360"/>
                            <a:ext cx="2102" cy="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80"/>
                              </a:gs>
                              <a:gs pos="100000">
                                <a:srgbClr val="000080">
                                  <a:gamma/>
                                  <a:tint val="63922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C84" w:rsidRPr="00202153" w:rsidRDefault="002B5C84" w:rsidP="002B5C84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color w:val="FFFFFF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Cs w:val="24"/>
                                </w:rPr>
                                <w:t>January 2015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30" y="308"/>
                            <a:ext cx="11586" cy="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0.5pt;margin-top:36pt;width:513.6pt;height:71.25pt;z-index:251659264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">
                <v:rect id="Rectangle 3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tzK8AA&#10;AADaAAAADwAAAGRycy9kb3ducmV2LnhtbESPS2vCQBSF94X+h+EW3NWJD4pERxGh4lbrwuUlc01i&#10;MnfCzK2J/94pFFwezuPjrDaDa9WdQqw9G5iMM1DEhbc1lwbOP9+fC1BRkC22nsnAgyJs1u9vK8yt&#10;7/lI95OUKo1wzNFAJdLlWseiIodx7Dvi5F19cChJhlLbgH0ad62eZtmXdlhzIlTY0a6iojn9ugTx&#10;u7KRub728bYPi+3l3NykMWb0MWyXoIQGeYX/2wdrYAZ/V9IN0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9tzK8AAAADaAAAADwAAAAAAAAAAAAAAAACYAgAAZHJzL2Rvd25y&#10;ZXYueG1sUEsFBgAAAAAEAAQA9QAAAIUDAAAAAA==&#10;" fillcolor="navy" stroked="f" strokecolor="white" strokeweight="1.5pt">
                  <v:fill color2="#5c5cae" rotate="t" focus="100%" type="gradient"/>
                  <v:textbox>
                    <w:txbxContent>
                      <w:p w:rsidR="008C7DF4" w:rsidRDefault="002B5C84" w:rsidP="002B5C84">
                        <w:pPr>
                          <w:pStyle w:val="Header"/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  <w:szCs w:val="28"/>
                          </w:rPr>
                          <w:t>Land and Buildings Transaction Tax</w:t>
                        </w:r>
                      </w:p>
                      <w:p w:rsidR="002B5C84" w:rsidRDefault="002B5C84" w:rsidP="002B5C84">
                        <w:pPr>
                          <w:pStyle w:val="Header"/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  <w:szCs w:val="28"/>
                          </w:rPr>
                          <w:t xml:space="preserve"> – R</w:t>
                        </w:r>
                        <w:r w:rsidR="008C7DF4"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  <w:szCs w:val="28"/>
                          </w:rPr>
                          <w:t>esidential r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  <w:szCs w:val="28"/>
                          </w:rPr>
                          <w:t>ates and bands</w:t>
                        </w:r>
                      </w:p>
                      <w:p w:rsidR="002B5C84" w:rsidRPr="00EB37F5" w:rsidRDefault="002B5C84" w:rsidP="002B5C84">
                        <w:pPr>
                          <w:pStyle w:val="Header"/>
                          <w:jc w:val="right"/>
                          <w:rPr>
                            <w:rFonts w:ascii="Arial" w:hAnsi="Arial" w:cs="Arial"/>
                            <w:b/>
                            <w:color w:val="FFFFFF"/>
                            <w:sz w:val="8"/>
                            <w:szCs w:val="8"/>
                          </w:rPr>
                        </w:pPr>
                      </w:p>
                      <w:p w:rsidR="002B5C84" w:rsidRPr="00202153" w:rsidRDefault="002B5C84" w:rsidP="002B5C84">
                        <w:pPr>
                          <w:pStyle w:val="Header"/>
                          <w:jc w:val="right"/>
                          <w:rPr>
                            <w:rFonts w:ascii="Arial" w:hAnsi="Arial" w:cs="Arial"/>
                            <w:b/>
                            <w:color w:val="FFFFFF"/>
                            <w:szCs w:val="24"/>
                          </w:rPr>
                        </w:pPr>
                        <w:r w:rsidRPr="00202153">
                          <w:rPr>
                            <w:rFonts w:ascii="Arial" w:hAnsi="Arial" w:cs="Arial"/>
                            <w:b/>
                            <w:color w:val="FFFFFF"/>
                            <w:szCs w:val="24"/>
                          </w:rPr>
                          <w:t>Scottish Government</w:t>
                        </w:r>
                      </w:p>
                    </w:txbxContent>
                  </v:textbox>
                </v:rect>
                <v:rect id="Rectangle 4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BQ/sUA&#10;AADaAAAADwAAAGRycy9kb3ducmV2LnhtbESPQWvCQBSE70L/w/IKvYjZWERKdA1SsO1FoVoP3h7Z&#10;1yRN9m3Y3ZrUX+8KBY/DzHzDLPPBtOJMzteWFUyTFARxYXXNpYKvw2byAsIHZI2tZVLwRx7y1cNo&#10;iZm2PX/SeR9KESHsM1RQhdBlUvqiIoM+sR1x9L6tMxiidKXUDvsIN618TtO5NFhzXKiwo9eKimb/&#10;axRYu377mTalO162uzq8y/Gp34yVenoc1gsQgYZwD/+3P7SCGdyuxBs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0FD+xQAAANoAAAAPAAAAAAAAAAAAAAAAAJgCAABkcnMv&#10;ZG93bnJldi54bWxQSwUGAAAAAAQABAD1AAAAigMAAAAA&#10;" fillcolor="navy" stroked="f" strokecolor="white" strokeweight="2pt">
                  <v:fill color2="#5c5cae" rotate="t" focus="100%" type="gradient"/>
                  <v:textbox>
                    <w:txbxContent>
                      <w:p w:rsidR="002B5C84" w:rsidRPr="00202153" w:rsidRDefault="002B5C84" w:rsidP="002B5C84">
                        <w:pPr>
                          <w:jc w:val="right"/>
                          <w:rPr>
                            <w:rFonts w:ascii="Arial" w:hAnsi="Arial" w:cs="Arial"/>
                            <w:b/>
                            <w:color w:val="FFFFFF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Cs w:val="24"/>
                          </w:rPr>
                          <w:t>January 2015</w:t>
                        </w:r>
                      </w:p>
                    </w:txbxContent>
                  </v:textbox>
                </v:rect>
                <v:rect id="Rectangle 5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FMJcMA&#10;AADaAAAADwAAAGRycy9kb3ducmV2LnhtbESPW2vCQBSE3wv+h+UIfasbxQaNrhIsQqEXqIrPh+wx&#10;CWbPht1tLv++Wyj0cZiZb5jtfjCN6Mj52rKC+SwBQVxYXXOp4HI+Pq1A+ICssbFMCkbysN9NHraY&#10;advzF3WnUIoIYZ+hgiqENpPSFxUZ9DPbEkfvZp3BEKUrpXbYR7hp5CJJUmmw5rhQYUuHior76dso&#10;WH+463tej0Waert8058vIcGzUo/TId+ACDSE//Bf+1Ure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FMJcMAAADaAAAADwAAAAAAAAAAAAAAAACYAgAAZHJzL2Rv&#10;d25yZXYueG1sUEsFBgAAAAAEAAQA9QAAAIgDAAAAAA==&#10;" filled="f" stroked="f" strokeweight="1pt"/>
                <w10:wrap anchorx="page" anchory="page"/>
              </v:group>
            </w:pict>
          </mc:Fallback>
        </mc:AlternateContent>
      </w:r>
    </w:p>
    <w:p w:rsidR="002B5C84" w:rsidRDefault="002B5C84">
      <w:pPr>
        <w:rPr>
          <w:rFonts w:ascii="Arial" w:hAnsi="Arial" w:cs="Arial"/>
          <w:b/>
          <w:sz w:val="24"/>
          <w:szCs w:val="24"/>
          <w:u w:val="single"/>
        </w:rPr>
      </w:pPr>
    </w:p>
    <w:p w:rsidR="002B5C84" w:rsidRDefault="002B5C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Scottish Government has</w:t>
      </w:r>
      <w:r w:rsidR="00AB28E8">
        <w:rPr>
          <w:rFonts w:ascii="Arial" w:hAnsi="Arial" w:cs="Arial"/>
          <w:sz w:val="24"/>
          <w:szCs w:val="24"/>
        </w:rPr>
        <w:t xml:space="preserve"> today (Wednesday 21 January)</w:t>
      </w:r>
      <w:r>
        <w:rPr>
          <w:rFonts w:ascii="Arial" w:hAnsi="Arial" w:cs="Arial"/>
          <w:sz w:val="24"/>
          <w:szCs w:val="24"/>
        </w:rPr>
        <w:t xml:space="preserve"> announced new rates and bands for residential transactions</w:t>
      </w:r>
      <w:r w:rsidR="008C7DF4">
        <w:rPr>
          <w:rFonts w:ascii="Arial" w:hAnsi="Arial" w:cs="Arial"/>
          <w:sz w:val="24"/>
          <w:szCs w:val="24"/>
        </w:rPr>
        <w:t xml:space="preserve"> taxable under Land and Buildings Transaction Tax (LBTT)</w:t>
      </w:r>
      <w:r>
        <w:rPr>
          <w:rFonts w:ascii="Arial" w:hAnsi="Arial" w:cs="Arial"/>
          <w:sz w:val="24"/>
          <w:szCs w:val="24"/>
        </w:rPr>
        <w:t xml:space="preserve">, which </w:t>
      </w:r>
      <w:r w:rsidR="008C7DF4">
        <w:rPr>
          <w:rFonts w:ascii="Arial" w:hAnsi="Arial" w:cs="Arial"/>
          <w:sz w:val="24"/>
          <w:szCs w:val="24"/>
        </w:rPr>
        <w:t>will replace Stamp Duty Land Tax (SDLT) in Scotland</w:t>
      </w:r>
      <w:r>
        <w:rPr>
          <w:rFonts w:ascii="Arial" w:hAnsi="Arial" w:cs="Arial"/>
          <w:sz w:val="24"/>
          <w:szCs w:val="24"/>
        </w:rPr>
        <w:t xml:space="preserve"> from 1 April 2015.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67"/>
      </w:tblGrid>
      <w:tr w:rsidR="002B5C84" w:rsidRPr="002B5C84" w:rsidTr="003B6AD6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2B5C84" w:rsidRPr="002B5C84" w:rsidRDefault="002B5C84" w:rsidP="002B5C84">
            <w:pPr>
              <w:tabs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i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i/>
                <w:sz w:val="24"/>
                <w:szCs w:val="20"/>
                <w:lang w:eastAsia="en-GB"/>
              </w:rPr>
              <w:t>Purchase price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B5C84" w:rsidRPr="002B5C84" w:rsidRDefault="002B5C84" w:rsidP="002B5C84">
            <w:pPr>
              <w:tabs>
                <w:tab w:val="right" w:pos="9000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i/>
                <w:sz w:val="24"/>
                <w:szCs w:val="20"/>
                <w:lang w:eastAsia="en-GB"/>
              </w:rPr>
            </w:pPr>
            <w:r w:rsidRPr="002B5C84">
              <w:rPr>
                <w:rFonts w:ascii="Arial" w:eastAsia="Times New Roman" w:hAnsi="Arial" w:cs="Times New Roman"/>
                <w:i/>
                <w:sz w:val="24"/>
                <w:szCs w:val="20"/>
                <w:lang w:eastAsia="en-GB"/>
              </w:rPr>
              <w:t>Rate</w:t>
            </w:r>
          </w:p>
        </w:tc>
      </w:tr>
      <w:tr w:rsidR="002B5C84" w:rsidRPr="002B5C84" w:rsidTr="003B6AD6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2B5C84" w:rsidRPr="002B5C84" w:rsidRDefault="002B5C84" w:rsidP="002B5C84">
            <w:pPr>
              <w:tabs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2B5C84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Up to £145,000</w:t>
            </w:r>
          </w:p>
        </w:tc>
        <w:tc>
          <w:tcPr>
            <w:tcW w:w="1467" w:type="dxa"/>
            <w:tcBorders>
              <w:bottom w:val="nil"/>
            </w:tcBorders>
            <w:shd w:val="clear" w:color="auto" w:fill="auto"/>
          </w:tcPr>
          <w:p w:rsidR="002B5C84" w:rsidRPr="002B5C84" w:rsidRDefault="00553149" w:rsidP="002B5C84">
            <w:pPr>
              <w:tabs>
                <w:tab w:val="right" w:pos="9000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0%</w:t>
            </w:r>
          </w:p>
        </w:tc>
      </w:tr>
      <w:tr w:rsidR="002B5C84" w:rsidRPr="002B5C84" w:rsidTr="003B6AD6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B5C84" w:rsidRPr="002B5C84" w:rsidRDefault="002B5C84" w:rsidP="002B5C84">
            <w:pPr>
              <w:tabs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2B5C84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£145,001 to £250,000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auto"/>
          </w:tcPr>
          <w:p w:rsidR="002B5C84" w:rsidRPr="002B5C84" w:rsidRDefault="002B5C84" w:rsidP="002B5C84">
            <w:pPr>
              <w:tabs>
                <w:tab w:val="right" w:pos="9000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2B5C84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2.0%</w:t>
            </w:r>
          </w:p>
        </w:tc>
      </w:tr>
      <w:tr w:rsidR="002B5C84" w:rsidRPr="002B5C84" w:rsidTr="003B6AD6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B5C84" w:rsidRPr="002B5C84" w:rsidRDefault="002B5C84" w:rsidP="002B5C84">
            <w:pPr>
              <w:tabs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2B5C84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£250,001 to £325,000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auto"/>
          </w:tcPr>
          <w:p w:rsidR="002B5C84" w:rsidRPr="002B5C84" w:rsidRDefault="002B5C84" w:rsidP="002B5C84">
            <w:pPr>
              <w:tabs>
                <w:tab w:val="right" w:pos="9000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2B5C84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5.0%</w:t>
            </w:r>
          </w:p>
        </w:tc>
      </w:tr>
      <w:tr w:rsidR="002B5C84" w:rsidRPr="002B5C84" w:rsidTr="003B6AD6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B5C84" w:rsidRPr="002B5C84" w:rsidRDefault="002B5C84" w:rsidP="002B5C84">
            <w:pPr>
              <w:tabs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2B5C84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£325,001 to £750,000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auto"/>
          </w:tcPr>
          <w:p w:rsidR="002B5C84" w:rsidRPr="002B5C84" w:rsidRDefault="002B5C84" w:rsidP="002B5C84">
            <w:pPr>
              <w:tabs>
                <w:tab w:val="right" w:pos="9000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2B5C84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10.0%</w:t>
            </w:r>
          </w:p>
        </w:tc>
      </w:tr>
      <w:tr w:rsidR="002B5C84" w:rsidRPr="002B5C84" w:rsidTr="003B6AD6">
        <w:tc>
          <w:tcPr>
            <w:tcW w:w="0" w:type="auto"/>
            <w:tcBorders>
              <w:top w:val="nil"/>
            </w:tcBorders>
            <w:shd w:val="clear" w:color="auto" w:fill="auto"/>
          </w:tcPr>
          <w:p w:rsidR="002B5C84" w:rsidRPr="002B5C84" w:rsidRDefault="002B5C84" w:rsidP="002B5C84">
            <w:pPr>
              <w:tabs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2B5C84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£750,001 and over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</w:tcPr>
          <w:p w:rsidR="002B5C84" w:rsidRPr="002B5C84" w:rsidRDefault="002B5C84" w:rsidP="002B5C84">
            <w:pPr>
              <w:tabs>
                <w:tab w:val="right" w:pos="9000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2B5C84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12.0%</w:t>
            </w:r>
          </w:p>
        </w:tc>
      </w:tr>
    </w:tbl>
    <w:p w:rsidR="002B5C84" w:rsidRDefault="002B5C84">
      <w:pPr>
        <w:rPr>
          <w:rFonts w:ascii="Arial" w:hAnsi="Arial" w:cs="Arial"/>
          <w:sz w:val="24"/>
          <w:szCs w:val="24"/>
        </w:rPr>
      </w:pPr>
    </w:p>
    <w:p w:rsidR="002B5C84" w:rsidRDefault="002B5C84">
      <w:pPr>
        <w:rPr>
          <w:rFonts w:ascii="Arial" w:hAnsi="Arial" w:cs="Arial"/>
          <w:sz w:val="24"/>
          <w:szCs w:val="24"/>
        </w:rPr>
      </w:pPr>
    </w:p>
    <w:p w:rsidR="002B5C84" w:rsidRDefault="002B5C84">
      <w:pPr>
        <w:rPr>
          <w:rFonts w:ascii="Arial" w:hAnsi="Arial" w:cs="Arial"/>
          <w:sz w:val="24"/>
          <w:szCs w:val="24"/>
        </w:rPr>
      </w:pPr>
    </w:p>
    <w:p w:rsidR="002B5C84" w:rsidRDefault="002B5C84">
      <w:pPr>
        <w:rPr>
          <w:rFonts w:ascii="Arial" w:hAnsi="Arial" w:cs="Arial"/>
          <w:sz w:val="24"/>
          <w:szCs w:val="24"/>
        </w:rPr>
      </w:pPr>
    </w:p>
    <w:p w:rsidR="002B5C84" w:rsidRDefault="002B5C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are marginal rates – only the proportion of the price above each tax threshold will be taxed at the next rate.</w:t>
      </w:r>
    </w:p>
    <w:p w:rsidR="002B5C84" w:rsidRDefault="002B5C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means that </w:t>
      </w:r>
      <w:r w:rsidRPr="00F06EF5">
        <w:rPr>
          <w:rFonts w:ascii="Arial" w:hAnsi="Arial" w:cs="Arial"/>
          <w:b/>
          <w:sz w:val="24"/>
          <w:szCs w:val="24"/>
        </w:rPr>
        <w:t>the first £145,000 of every residential purchase is tax free</w:t>
      </w:r>
      <w:r>
        <w:rPr>
          <w:rFonts w:ascii="Arial" w:hAnsi="Arial" w:cs="Arial"/>
          <w:sz w:val="24"/>
          <w:szCs w:val="24"/>
        </w:rPr>
        <w:t xml:space="preserve">.  If the price of a property is less than that, the buyer pays nothing in tax.  These new rates </w:t>
      </w:r>
      <w:r w:rsidRPr="00F06EF5">
        <w:rPr>
          <w:rFonts w:ascii="Arial" w:hAnsi="Arial" w:cs="Arial"/>
          <w:b/>
          <w:sz w:val="24"/>
          <w:szCs w:val="24"/>
        </w:rPr>
        <w:t>take an extra 5,000 transactions out of tax compared to our original residential LBTT rate proposals</w:t>
      </w:r>
      <w:r>
        <w:rPr>
          <w:rFonts w:ascii="Arial" w:hAnsi="Arial" w:cs="Arial"/>
          <w:sz w:val="24"/>
          <w:szCs w:val="24"/>
        </w:rPr>
        <w:t>, announced in October, and an</w:t>
      </w:r>
      <w:r w:rsidRPr="00D41DBC">
        <w:rPr>
          <w:rFonts w:ascii="Arial" w:hAnsi="Arial" w:cs="Arial"/>
          <w:b/>
          <w:sz w:val="24"/>
          <w:szCs w:val="24"/>
        </w:rPr>
        <w:t xml:space="preserve"> extra 10,000 transact</w:t>
      </w:r>
      <w:r w:rsidR="00F06EF5" w:rsidRPr="00D41DBC">
        <w:rPr>
          <w:rFonts w:ascii="Arial" w:hAnsi="Arial" w:cs="Arial"/>
          <w:b/>
          <w:sz w:val="24"/>
          <w:szCs w:val="24"/>
        </w:rPr>
        <w:t xml:space="preserve">ions out of tax compared to </w:t>
      </w:r>
      <w:r w:rsidR="00553149">
        <w:rPr>
          <w:rFonts w:ascii="Arial" w:hAnsi="Arial" w:cs="Arial"/>
          <w:b/>
          <w:sz w:val="24"/>
          <w:szCs w:val="24"/>
        </w:rPr>
        <w:t>current</w:t>
      </w:r>
      <w:r w:rsidR="00553149" w:rsidRPr="00D41DBC">
        <w:rPr>
          <w:rFonts w:ascii="Arial" w:hAnsi="Arial" w:cs="Arial"/>
          <w:b/>
          <w:sz w:val="24"/>
          <w:szCs w:val="24"/>
        </w:rPr>
        <w:t xml:space="preserve"> </w:t>
      </w:r>
      <w:r w:rsidR="008C7DF4" w:rsidRPr="00D41DBC">
        <w:rPr>
          <w:rFonts w:ascii="Arial" w:hAnsi="Arial" w:cs="Arial"/>
          <w:b/>
          <w:sz w:val="24"/>
          <w:szCs w:val="24"/>
        </w:rPr>
        <w:t>rates of UK SDLT</w:t>
      </w:r>
      <w:r w:rsidR="00F06EF5" w:rsidRPr="00D41DBC">
        <w:rPr>
          <w:rFonts w:ascii="Arial" w:hAnsi="Arial" w:cs="Arial"/>
          <w:b/>
          <w:sz w:val="24"/>
          <w:szCs w:val="24"/>
        </w:rPr>
        <w:t>.</w:t>
      </w:r>
    </w:p>
    <w:p w:rsidR="00364B16" w:rsidRDefault="00364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helps first time buyers and those who are less able to afford the tax.</w:t>
      </w:r>
    </w:p>
    <w:p w:rsidR="00364B16" w:rsidRDefault="00364B16">
      <w:pPr>
        <w:rPr>
          <w:rFonts w:ascii="Arial" w:hAnsi="Arial" w:cs="Arial"/>
          <w:sz w:val="24"/>
          <w:szCs w:val="24"/>
        </w:rPr>
      </w:pPr>
      <w:r w:rsidRPr="008C7DF4">
        <w:rPr>
          <w:rFonts w:ascii="Arial" w:hAnsi="Arial" w:cs="Arial"/>
          <w:b/>
          <w:sz w:val="24"/>
          <w:szCs w:val="24"/>
        </w:rPr>
        <w:t>Over 90% of transactions</w:t>
      </w:r>
      <w:r>
        <w:rPr>
          <w:rFonts w:ascii="Arial" w:hAnsi="Arial" w:cs="Arial"/>
          <w:sz w:val="24"/>
          <w:szCs w:val="24"/>
        </w:rPr>
        <w:t xml:space="preserve"> </w:t>
      </w:r>
      <w:r w:rsidR="00553149">
        <w:rPr>
          <w:rFonts w:ascii="Arial" w:hAnsi="Arial" w:cs="Arial"/>
          <w:sz w:val="24"/>
          <w:szCs w:val="24"/>
        </w:rPr>
        <w:t xml:space="preserve"> - those below £330,000 - </w:t>
      </w:r>
      <w:r>
        <w:rPr>
          <w:rFonts w:ascii="Arial" w:hAnsi="Arial" w:cs="Arial"/>
          <w:sz w:val="24"/>
          <w:szCs w:val="24"/>
        </w:rPr>
        <w:t>will either pay less in tax on their new homes, or the same as they would u</w:t>
      </w:r>
      <w:r w:rsidR="008C7DF4">
        <w:rPr>
          <w:rFonts w:ascii="Arial" w:hAnsi="Arial" w:cs="Arial"/>
          <w:sz w:val="24"/>
          <w:szCs w:val="24"/>
        </w:rPr>
        <w:t xml:space="preserve">nder </w:t>
      </w:r>
      <w:r w:rsidR="00553149">
        <w:rPr>
          <w:rFonts w:ascii="Arial" w:hAnsi="Arial" w:cs="Arial"/>
          <w:sz w:val="24"/>
          <w:szCs w:val="24"/>
        </w:rPr>
        <w:t xml:space="preserve">current </w:t>
      </w:r>
      <w:r w:rsidR="008C7DF4">
        <w:rPr>
          <w:rFonts w:ascii="Arial" w:hAnsi="Arial" w:cs="Arial"/>
          <w:sz w:val="24"/>
          <w:szCs w:val="24"/>
        </w:rPr>
        <w:t>rates of UK SDLT</w:t>
      </w:r>
      <w:r w:rsidR="00D31899">
        <w:rPr>
          <w:rFonts w:ascii="Arial" w:hAnsi="Arial" w:cs="Arial"/>
          <w:sz w:val="24"/>
          <w:szCs w:val="24"/>
        </w:rPr>
        <w:t xml:space="preserve">.  </w:t>
      </w:r>
    </w:p>
    <w:p w:rsidR="008C7DF4" w:rsidRDefault="008C7D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9D634F">
        <w:rPr>
          <w:rFonts w:ascii="Arial" w:hAnsi="Arial" w:cs="Arial"/>
          <w:b/>
          <w:sz w:val="24"/>
          <w:szCs w:val="24"/>
        </w:rPr>
        <w:t>average property price</w:t>
      </w:r>
      <w:r>
        <w:rPr>
          <w:rFonts w:ascii="Arial" w:hAnsi="Arial" w:cs="Arial"/>
          <w:sz w:val="24"/>
          <w:szCs w:val="24"/>
        </w:rPr>
        <w:t xml:space="preserve"> in Scotland is £170,000.  People buying an average priced property are set to </w:t>
      </w:r>
      <w:r w:rsidRPr="008C7DF4">
        <w:rPr>
          <w:rFonts w:ascii="Arial" w:hAnsi="Arial" w:cs="Arial"/>
          <w:b/>
          <w:sz w:val="24"/>
          <w:szCs w:val="24"/>
        </w:rPr>
        <w:t>save £400</w:t>
      </w:r>
      <w:r>
        <w:rPr>
          <w:rFonts w:ascii="Arial" w:hAnsi="Arial" w:cs="Arial"/>
          <w:sz w:val="24"/>
          <w:szCs w:val="24"/>
        </w:rPr>
        <w:t xml:space="preserve"> in tax from April.  </w:t>
      </w:r>
    </w:p>
    <w:p w:rsidR="008C7DF4" w:rsidRDefault="008C7D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9D634F">
        <w:rPr>
          <w:rFonts w:ascii="Arial" w:hAnsi="Arial" w:cs="Arial"/>
          <w:b/>
          <w:sz w:val="24"/>
          <w:szCs w:val="24"/>
        </w:rPr>
        <w:t>average residential property</w:t>
      </w:r>
      <w:r>
        <w:rPr>
          <w:rFonts w:ascii="Arial" w:hAnsi="Arial" w:cs="Arial"/>
          <w:sz w:val="24"/>
          <w:szCs w:val="24"/>
        </w:rPr>
        <w:t xml:space="preserve"> price in every local authorit</w:t>
      </w:r>
      <w:r w:rsidR="00914E1F">
        <w:rPr>
          <w:rFonts w:ascii="Arial" w:hAnsi="Arial" w:cs="Arial"/>
          <w:sz w:val="24"/>
          <w:szCs w:val="24"/>
        </w:rPr>
        <w:t>y area in Scotland is below £330</w:t>
      </w:r>
      <w:r>
        <w:rPr>
          <w:rFonts w:ascii="Arial" w:hAnsi="Arial" w:cs="Arial"/>
          <w:sz w:val="24"/>
          <w:szCs w:val="24"/>
        </w:rPr>
        <w:t xml:space="preserve">,000 </w:t>
      </w:r>
      <w:r w:rsidRPr="009D634F">
        <w:rPr>
          <w:rFonts w:ascii="Arial" w:hAnsi="Arial" w:cs="Arial"/>
          <w:sz w:val="24"/>
          <w:szCs w:val="24"/>
        </w:rPr>
        <w:t>so people buying the average priced house in every local authority area</w:t>
      </w:r>
      <w:r w:rsidRPr="008C7DF4">
        <w:rPr>
          <w:rFonts w:ascii="Arial" w:hAnsi="Arial" w:cs="Arial"/>
          <w:b/>
          <w:sz w:val="24"/>
          <w:szCs w:val="24"/>
        </w:rPr>
        <w:t xml:space="preserve"> will pay less tax than they do under </w:t>
      </w:r>
      <w:r w:rsidR="00553149">
        <w:rPr>
          <w:rFonts w:ascii="Arial" w:hAnsi="Arial" w:cs="Arial"/>
          <w:b/>
          <w:sz w:val="24"/>
          <w:szCs w:val="24"/>
        </w:rPr>
        <w:t xml:space="preserve">current </w:t>
      </w:r>
      <w:r w:rsidRPr="008C7DF4">
        <w:rPr>
          <w:rFonts w:ascii="Arial" w:hAnsi="Arial" w:cs="Arial"/>
          <w:b/>
          <w:sz w:val="24"/>
          <w:szCs w:val="24"/>
        </w:rPr>
        <w:t>rates of UK SDLT or will pay no tax at all</w:t>
      </w:r>
      <w:r>
        <w:rPr>
          <w:rFonts w:ascii="Arial" w:hAnsi="Arial" w:cs="Arial"/>
          <w:sz w:val="24"/>
          <w:szCs w:val="24"/>
        </w:rPr>
        <w:t>.</w:t>
      </w:r>
    </w:p>
    <w:p w:rsidR="008C7DF4" w:rsidRDefault="000540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avera</w:t>
      </w:r>
      <w:r w:rsidR="00D41DBC">
        <w:rPr>
          <w:rFonts w:ascii="Arial" w:hAnsi="Arial" w:cs="Arial"/>
          <w:sz w:val="24"/>
          <w:szCs w:val="24"/>
        </w:rPr>
        <w:t xml:space="preserve">ge price of a </w:t>
      </w:r>
      <w:r w:rsidR="00D41DBC" w:rsidRPr="009D634F">
        <w:rPr>
          <w:rFonts w:ascii="Arial" w:hAnsi="Arial" w:cs="Arial"/>
          <w:b/>
          <w:sz w:val="24"/>
          <w:szCs w:val="24"/>
        </w:rPr>
        <w:t>detached</w:t>
      </w:r>
      <w:r w:rsidR="00D41DBC">
        <w:rPr>
          <w:rFonts w:ascii="Arial" w:hAnsi="Arial" w:cs="Arial"/>
          <w:sz w:val="24"/>
          <w:szCs w:val="24"/>
        </w:rPr>
        <w:t xml:space="preserve"> </w:t>
      </w:r>
      <w:r w:rsidR="00D41DBC" w:rsidRPr="009D634F">
        <w:rPr>
          <w:rFonts w:ascii="Arial" w:hAnsi="Arial" w:cs="Arial"/>
          <w:b/>
          <w:sz w:val="24"/>
          <w:szCs w:val="24"/>
        </w:rPr>
        <w:t>house</w:t>
      </w:r>
      <w:r w:rsidR="00D41D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Scotland is </w:t>
      </w:r>
      <w:r w:rsidR="00D41DBC">
        <w:rPr>
          <w:rFonts w:ascii="Arial" w:hAnsi="Arial" w:cs="Arial"/>
          <w:sz w:val="24"/>
          <w:szCs w:val="24"/>
        </w:rPr>
        <w:t>£244,000</w:t>
      </w:r>
      <w:r>
        <w:rPr>
          <w:rFonts w:ascii="Arial" w:hAnsi="Arial" w:cs="Arial"/>
          <w:sz w:val="24"/>
          <w:szCs w:val="24"/>
        </w:rPr>
        <w:t xml:space="preserve"> </w:t>
      </w:r>
      <w:r w:rsidRPr="009D634F">
        <w:rPr>
          <w:rFonts w:ascii="Arial" w:hAnsi="Arial" w:cs="Arial"/>
          <w:sz w:val="24"/>
          <w:szCs w:val="24"/>
        </w:rPr>
        <w:t xml:space="preserve">so people buying the average priced detached house in </w:t>
      </w:r>
      <w:r w:rsidR="00D41DBC" w:rsidRPr="009D634F">
        <w:rPr>
          <w:rFonts w:ascii="Arial" w:hAnsi="Arial" w:cs="Arial"/>
          <w:sz w:val="24"/>
          <w:szCs w:val="24"/>
        </w:rPr>
        <w:t>Scotland</w:t>
      </w:r>
      <w:r w:rsidRPr="008C7DF4">
        <w:rPr>
          <w:rFonts w:ascii="Arial" w:hAnsi="Arial" w:cs="Arial"/>
          <w:b/>
          <w:sz w:val="24"/>
          <w:szCs w:val="24"/>
        </w:rPr>
        <w:t xml:space="preserve"> will pay less tax than they do under </w:t>
      </w:r>
      <w:r w:rsidR="00553149">
        <w:rPr>
          <w:rFonts w:ascii="Arial" w:hAnsi="Arial" w:cs="Arial"/>
          <w:b/>
          <w:sz w:val="24"/>
          <w:szCs w:val="24"/>
        </w:rPr>
        <w:t xml:space="preserve">current </w:t>
      </w:r>
      <w:r w:rsidRPr="008C7DF4">
        <w:rPr>
          <w:rFonts w:ascii="Arial" w:hAnsi="Arial" w:cs="Arial"/>
          <w:b/>
          <w:sz w:val="24"/>
          <w:szCs w:val="24"/>
        </w:rPr>
        <w:t>rates of U</w:t>
      </w:r>
      <w:r w:rsidR="003754DD">
        <w:rPr>
          <w:rFonts w:ascii="Arial" w:hAnsi="Arial" w:cs="Arial"/>
          <w:b/>
          <w:sz w:val="24"/>
          <w:szCs w:val="24"/>
        </w:rPr>
        <w:t>K SDLT</w:t>
      </w:r>
      <w:r>
        <w:rPr>
          <w:rFonts w:ascii="Arial" w:hAnsi="Arial" w:cs="Arial"/>
          <w:sz w:val="24"/>
          <w:szCs w:val="24"/>
        </w:rPr>
        <w:t>.</w:t>
      </w:r>
    </w:p>
    <w:p w:rsidR="000540AA" w:rsidRDefault="000540AA">
      <w:pPr>
        <w:rPr>
          <w:rFonts w:ascii="Arial" w:hAnsi="Arial" w:cs="Arial"/>
          <w:sz w:val="24"/>
          <w:szCs w:val="24"/>
        </w:rPr>
      </w:pPr>
      <w:r w:rsidRPr="000540AA">
        <w:rPr>
          <w:rFonts w:ascii="Arial" w:hAnsi="Arial" w:cs="Arial"/>
          <w:b/>
          <w:sz w:val="24"/>
          <w:szCs w:val="24"/>
        </w:rPr>
        <w:t>99.9% of all transactions will pay less LBTT or no LBTT,</w:t>
      </w:r>
      <w:r>
        <w:rPr>
          <w:rFonts w:ascii="Arial" w:hAnsi="Arial" w:cs="Arial"/>
          <w:sz w:val="24"/>
          <w:szCs w:val="24"/>
        </w:rPr>
        <w:t xml:space="preserve"> compared to the proposals which the Scottish Government announced in October 20</w:t>
      </w:r>
      <w:r w:rsidR="00914E1F">
        <w:rPr>
          <w:rFonts w:ascii="Arial" w:hAnsi="Arial" w:cs="Arial"/>
          <w:sz w:val="24"/>
          <w:szCs w:val="24"/>
        </w:rPr>
        <w:t>14.  Only purchases above £945,0</w:t>
      </w:r>
      <w:r>
        <w:rPr>
          <w:rFonts w:ascii="Arial" w:hAnsi="Arial" w:cs="Arial"/>
          <w:sz w:val="24"/>
          <w:szCs w:val="24"/>
        </w:rPr>
        <w:t xml:space="preserve">00 will pay more in tax than under the original proposals.  </w:t>
      </w:r>
    </w:p>
    <w:p w:rsidR="00553149" w:rsidRDefault="005531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540AA" w:rsidRDefault="000540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Comparison of tax charge under SDLT and LBTT</w:t>
      </w:r>
    </w:p>
    <w:p w:rsidR="008C7DF4" w:rsidRDefault="000540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6B0526B" wp14:editId="2556B434">
            <wp:extent cx="6287511" cy="23336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661" cy="2338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0AA" w:rsidRDefault="005E03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Examples</w:t>
      </w:r>
    </w:p>
    <w:p w:rsidR="005E0300" w:rsidRDefault="005E03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first time buyer, buying a house worth £140,000 would now pay nothing under </w:t>
      </w:r>
      <w:r w:rsidR="00553149">
        <w:rPr>
          <w:rFonts w:ascii="Arial" w:hAnsi="Arial" w:cs="Arial"/>
          <w:sz w:val="24"/>
          <w:szCs w:val="24"/>
        </w:rPr>
        <w:t xml:space="preserve">LBTT, saving £300 compared to </w:t>
      </w:r>
      <w:r w:rsidR="00553149" w:rsidRPr="00553149">
        <w:rPr>
          <w:rFonts w:ascii="Arial" w:hAnsi="Arial" w:cs="Arial"/>
          <w:sz w:val="24"/>
          <w:szCs w:val="24"/>
        </w:rPr>
        <w:t>current UK SDLT</w:t>
      </w:r>
      <w:r>
        <w:rPr>
          <w:rFonts w:ascii="Arial" w:hAnsi="Arial" w:cs="Arial"/>
          <w:sz w:val="24"/>
          <w:szCs w:val="24"/>
        </w:rPr>
        <w:t>.</w:t>
      </w:r>
    </w:p>
    <w:p w:rsidR="005E0300" w:rsidRDefault="005E03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couple buying a flat at £150,000 would now pay tax of £100 – saving £400 against</w:t>
      </w:r>
      <w:r w:rsidR="00D41DBC">
        <w:rPr>
          <w:rFonts w:ascii="Arial" w:hAnsi="Arial" w:cs="Arial"/>
          <w:sz w:val="24"/>
          <w:szCs w:val="24"/>
        </w:rPr>
        <w:t xml:space="preserve"> current</w:t>
      </w:r>
      <w:r>
        <w:rPr>
          <w:rFonts w:ascii="Arial" w:hAnsi="Arial" w:cs="Arial"/>
          <w:sz w:val="24"/>
          <w:szCs w:val="24"/>
        </w:rPr>
        <w:t xml:space="preserve"> UK SDLT.</w:t>
      </w:r>
      <w:r w:rsidR="00D41DBC">
        <w:rPr>
          <w:rFonts w:ascii="Arial" w:hAnsi="Arial" w:cs="Arial"/>
          <w:sz w:val="24"/>
          <w:szCs w:val="24"/>
        </w:rPr>
        <w:t xml:space="preserve">  This is also £1,400 lower than the UK tax which would have been due before the Chancellor made changes to SDLT in December 2014.  </w:t>
      </w:r>
    </w:p>
    <w:p w:rsidR="005E0300" w:rsidRDefault="005E03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tax charge on the average residential property price in Scotland (£170,000</w:t>
      </w:r>
      <w:r w:rsidR="0055314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will reduce from £900 to £500</w:t>
      </w:r>
      <w:r w:rsidR="00553149">
        <w:rPr>
          <w:rFonts w:ascii="Arial" w:hAnsi="Arial" w:cs="Arial"/>
          <w:sz w:val="24"/>
          <w:szCs w:val="24"/>
        </w:rPr>
        <w:t xml:space="preserve"> – saving £400 compared to the current </w:t>
      </w:r>
      <w:r w:rsidR="00553149" w:rsidRPr="00553149">
        <w:rPr>
          <w:rFonts w:ascii="Arial" w:hAnsi="Arial" w:cs="Arial"/>
          <w:sz w:val="24"/>
          <w:szCs w:val="24"/>
        </w:rPr>
        <w:t>UK SDLT</w:t>
      </w:r>
      <w:r>
        <w:rPr>
          <w:rFonts w:ascii="Arial" w:hAnsi="Arial" w:cs="Arial"/>
          <w:sz w:val="24"/>
          <w:szCs w:val="24"/>
        </w:rPr>
        <w:t>.</w:t>
      </w:r>
    </w:p>
    <w:p w:rsidR="005E0300" w:rsidRDefault="005E03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family buying a home for £240,000 – the average detached property price in Scotland  – will pay tax of £1,900 from April.  They would have paid Stamp Duty of £2,300, giving them a saving of £400.</w:t>
      </w:r>
    </w:p>
    <w:p w:rsidR="005E0300" w:rsidRDefault="005E03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family buying a home for </w:t>
      </w:r>
      <w:r w:rsidR="003754DD">
        <w:rPr>
          <w:rFonts w:ascii="Arial" w:hAnsi="Arial" w:cs="Arial"/>
          <w:sz w:val="24"/>
          <w:szCs w:val="24"/>
        </w:rPr>
        <w:t>£300,000 will pay LBTT of £4,600</w:t>
      </w:r>
      <w:r>
        <w:rPr>
          <w:rFonts w:ascii="Arial" w:hAnsi="Arial" w:cs="Arial"/>
          <w:sz w:val="24"/>
          <w:szCs w:val="24"/>
        </w:rPr>
        <w:t xml:space="preserve"> from April, compared to t</w:t>
      </w:r>
      <w:r w:rsidR="003754DD">
        <w:rPr>
          <w:rFonts w:ascii="Arial" w:hAnsi="Arial" w:cs="Arial"/>
          <w:sz w:val="24"/>
          <w:szCs w:val="24"/>
        </w:rPr>
        <w:t>he £5,000</w:t>
      </w:r>
      <w:r>
        <w:rPr>
          <w:rFonts w:ascii="Arial" w:hAnsi="Arial" w:cs="Arial"/>
          <w:sz w:val="24"/>
          <w:szCs w:val="24"/>
        </w:rPr>
        <w:t xml:space="preserve"> they would pay </w:t>
      </w:r>
      <w:r w:rsidR="00553149">
        <w:rPr>
          <w:rFonts w:ascii="Arial" w:hAnsi="Arial" w:cs="Arial"/>
          <w:sz w:val="24"/>
          <w:szCs w:val="24"/>
        </w:rPr>
        <w:t xml:space="preserve">under current UK </w:t>
      </w:r>
      <w:r>
        <w:rPr>
          <w:rFonts w:ascii="Arial" w:hAnsi="Arial" w:cs="Arial"/>
          <w:sz w:val="24"/>
          <w:szCs w:val="24"/>
        </w:rPr>
        <w:t>SDLT.</w:t>
      </w:r>
    </w:p>
    <w:p w:rsidR="007A4692" w:rsidRDefault="007A46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family buying a home for £1,000,000 will pay LBTT of £78,350 from April, compared to the £43,750 they would pay </w:t>
      </w:r>
      <w:r w:rsidR="00553149" w:rsidRPr="00553149">
        <w:rPr>
          <w:rFonts w:ascii="Arial" w:hAnsi="Arial" w:cs="Arial"/>
          <w:sz w:val="24"/>
          <w:szCs w:val="24"/>
        </w:rPr>
        <w:t>under current UK SDLT</w:t>
      </w:r>
      <w:r>
        <w:rPr>
          <w:rFonts w:ascii="Arial" w:hAnsi="Arial" w:cs="Arial"/>
          <w:sz w:val="24"/>
          <w:szCs w:val="24"/>
        </w:rPr>
        <w:t>.</w:t>
      </w:r>
    </w:p>
    <w:p w:rsidR="007A4692" w:rsidRDefault="007A46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Notes</w:t>
      </w:r>
    </w:p>
    <w:p w:rsidR="00553149" w:rsidRDefault="005531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Figures on transaction prices are </w:t>
      </w:r>
      <w:r w:rsidRPr="00553149">
        <w:rPr>
          <w:rFonts w:ascii="Arial" w:hAnsi="Arial" w:cs="Arial"/>
          <w:sz w:val="24"/>
          <w:szCs w:val="24"/>
        </w:rPr>
        <w:t xml:space="preserve">based on Registers of Scotland </w:t>
      </w:r>
      <w:r>
        <w:rPr>
          <w:rFonts w:ascii="Arial" w:hAnsi="Arial" w:cs="Arial"/>
          <w:sz w:val="24"/>
          <w:szCs w:val="24"/>
        </w:rPr>
        <w:t>data for July to September 2014.</w:t>
      </w:r>
    </w:p>
    <w:p w:rsidR="007A4692" w:rsidRPr="007A4692" w:rsidRDefault="007A46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tax rates and bands announced today are still to be approved by the Scottish Parliament.  The Scottish Government will seek Parliament’s approval of formal rate-setting Orders</w:t>
      </w:r>
      <w:r w:rsidR="00D941C8">
        <w:rPr>
          <w:rFonts w:ascii="Arial" w:hAnsi="Arial" w:cs="Arial"/>
          <w:sz w:val="24"/>
          <w:szCs w:val="24"/>
        </w:rPr>
        <w:t xml:space="preserve"> which will be laid in early February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B5C84" w:rsidRPr="002B5C84" w:rsidRDefault="007A46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LBTT calculators are available on the Revenue Scotland website – see </w:t>
      </w:r>
      <w:hyperlink r:id="rId6" w:history="1">
        <w:r w:rsidRPr="00A5383B">
          <w:rPr>
            <w:rStyle w:val="Hyperlink"/>
            <w:rFonts w:ascii="Arial" w:hAnsi="Arial" w:cs="Arial"/>
            <w:sz w:val="24"/>
            <w:szCs w:val="24"/>
          </w:rPr>
          <w:t>www.revenue.scot</w:t>
        </w:r>
      </w:hyperlink>
      <w:r>
        <w:rPr>
          <w:rFonts w:ascii="Arial" w:hAnsi="Arial" w:cs="Arial"/>
          <w:sz w:val="24"/>
          <w:szCs w:val="24"/>
        </w:rPr>
        <w:t xml:space="preserve">.  </w:t>
      </w:r>
    </w:p>
    <w:sectPr w:rsidR="002B5C84" w:rsidRPr="002B5C84" w:rsidSect="002B5C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84"/>
    <w:rsid w:val="000540AA"/>
    <w:rsid w:val="002B5C84"/>
    <w:rsid w:val="00344A08"/>
    <w:rsid w:val="00364B16"/>
    <w:rsid w:val="003754DD"/>
    <w:rsid w:val="00553149"/>
    <w:rsid w:val="005E0300"/>
    <w:rsid w:val="006A4466"/>
    <w:rsid w:val="007A4692"/>
    <w:rsid w:val="008C7DF4"/>
    <w:rsid w:val="00914E1F"/>
    <w:rsid w:val="009D634F"/>
    <w:rsid w:val="00AB28E8"/>
    <w:rsid w:val="00BF58D5"/>
    <w:rsid w:val="00D31899"/>
    <w:rsid w:val="00D41DBC"/>
    <w:rsid w:val="00D941C8"/>
    <w:rsid w:val="00F06EF5"/>
    <w:rsid w:val="00F3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B5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B5C84"/>
  </w:style>
  <w:style w:type="paragraph" w:styleId="BalloonText">
    <w:name w:val="Balloon Text"/>
    <w:basedOn w:val="Normal"/>
    <w:link w:val="BalloonTextChar"/>
    <w:uiPriority w:val="99"/>
    <w:semiHidden/>
    <w:unhideWhenUsed/>
    <w:rsid w:val="0005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46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46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B5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B5C84"/>
  </w:style>
  <w:style w:type="paragraph" w:styleId="BalloonText">
    <w:name w:val="Balloon Text"/>
    <w:basedOn w:val="Normal"/>
    <w:link w:val="BalloonTextChar"/>
    <w:uiPriority w:val="99"/>
    <w:semiHidden/>
    <w:unhideWhenUsed/>
    <w:rsid w:val="0005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46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46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venue.sco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u414570</dc:creator>
  <cp:lastModifiedBy>Z607772</cp:lastModifiedBy>
  <cp:revision>2</cp:revision>
  <cp:lastPrinted>2015-01-21T09:25:00Z</cp:lastPrinted>
  <dcterms:created xsi:type="dcterms:W3CDTF">2015-01-21T15:00:00Z</dcterms:created>
  <dcterms:modified xsi:type="dcterms:W3CDTF">2015-01-21T15:00:00Z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A10157340</vt:lpwstr>
  </property>
  <property fmtid="{D5CDD505-2E9C-101B-9397-08002B2CF9AE}" pid="4" name="Objective-Title">
    <vt:lpwstr>2015-16 - Stage 1 - LBTT factsheet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2015-01-20T14:21:14Z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2015-01-21T11:38:16Z</vt:filetime>
  </property>
  <property fmtid="{D5CDD505-2E9C-101B-9397-08002B2CF9AE}" pid="10" name="Objective-ModificationStamp">
    <vt:filetime>2015-01-21T11:38:21Z</vt:filetime>
  </property>
  <property fmtid="{D5CDD505-2E9C-101B-9397-08002B2CF9AE}" pid="11" name="Objective-Owner">
    <vt:lpwstr>Cumming, Alison A (U414570)</vt:lpwstr>
  </property>
  <property fmtid="{D5CDD505-2E9C-101B-9397-08002B2CF9AE}" pid="12" name="Objective-Path">
    <vt:lpwstr>Objective Global Folder:SG File Plan:Economics and finance:Public finance:Public finance - financial management:Developing legislation: Public finance - financial management:Scotland Act financial provisions implementation: Tax rates and bands: 2014-2019:</vt:lpwstr>
  </property>
  <property fmtid="{D5CDD505-2E9C-101B-9397-08002B2CF9AE}" pid="13" name="Objective-Parent">
    <vt:lpwstr>Scotland Act financial provisions implementation: Tax rates and bands: 2014-2019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OFFICIAL-SENSITIVE]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