
<file path=[Content_Types].xml><?xml version="1.0" encoding="utf-8"?>
<Types xmlns="http://schemas.openxmlformats.org/package/2006/content-types">
  <Default Extension="gif" ContentType="image/gi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F0933" w14:textId="7707842D" w:rsidR="006C3D06" w:rsidRDefault="006C3D06">
      <w:pPr>
        <w:pBdr>
          <w:top w:val="nil"/>
          <w:left w:val="nil"/>
          <w:bottom w:val="nil"/>
          <w:right w:val="nil"/>
          <w:between w:val="nil"/>
        </w:pBdr>
        <w:spacing w:before="360" w:after="280" w:line="240" w:lineRule="auto"/>
        <w:rPr>
          <w:b/>
          <w:bCs/>
          <w:color w:val="1F497D"/>
          <w:sz w:val="2"/>
          <w:szCs w:val="2"/>
        </w:rPr>
      </w:pPr>
    </w:p>
    <w:p w14:paraId="549B0266" w14:textId="65A5BC29" w:rsidR="00B03262" w:rsidRDefault="00F57A12">
      <w:pPr>
        <w:pBdr>
          <w:top w:val="nil"/>
          <w:left w:val="nil"/>
          <w:bottom w:val="nil"/>
          <w:right w:val="nil"/>
          <w:between w:val="nil"/>
        </w:pBdr>
        <w:spacing w:before="360" w:after="280" w:line="240" w:lineRule="auto"/>
        <w:rPr>
          <w:b/>
          <w:bCs/>
          <w:color w:val="1F497D"/>
          <w:sz w:val="24"/>
          <w:szCs w:val="24"/>
        </w:rPr>
      </w:pPr>
      <w:bookmarkStart w:id="0" w:name="_heading=h.c493zbr82lp6" w:colFirst="0" w:colLast="0"/>
      <w:bookmarkEnd w:id="0"/>
      <w:r w:rsidRPr="00F57A12">
        <w:rPr>
          <w:b/>
          <w:bCs/>
          <w:noProof/>
          <w:color w:val="1F497D"/>
          <w:sz w:val="24"/>
          <w:szCs w:val="24"/>
          <w:lang w:val="es-ES" w:eastAsia="es-ES"/>
        </w:rPr>
        <w:drawing>
          <wp:anchor distT="0" distB="0" distL="114300" distR="114300" simplePos="0" relativeHeight="251658240" behindDoc="0" locked="0" layoutInCell="1" allowOverlap="1" wp14:anchorId="438A5ADA" wp14:editId="4CDE4232">
            <wp:simplePos x="0" y="0"/>
            <wp:positionH relativeFrom="column">
              <wp:posOffset>3848100</wp:posOffset>
            </wp:positionH>
            <wp:positionV relativeFrom="paragraph">
              <wp:posOffset>246380</wp:posOffset>
            </wp:positionV>
            <wp:extent cx="1487170" cy="5911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stellano-horizontal-full-colo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7170" cy="591185"/>
                    </a:xfrm>
                    <a:prstGeom prst="rect">
                      <a:avLst/>
                    </a:prstGeom>
                  </pic:spPr>
                </pic:pic>
              </a:graphicData>
            </a:graphic>
          </wp:anchor>
        </w:drawing>
      </w:r>
      <w:r w:rsidR="0022342E">
        <w:rPr>
          <w:b/>
          <w:bCs/>
          <w:noProof/>
          <w:color w:val="1F497D"/>
          <w:sz w:val="24"/>
          <w:szCs w:val="24"/>
          <w:lang w:val="es-ES" w:eastAsia="es-ES"/>
        </w:rPr>
        <w:drawing>
          <wp:inline distT="0" distB="0" distL="0" distR="0" wp14:anchorId="44576732" wp14:editId="556DFBBB">
            <wp:extent cx="1742595" cy="1219200"/>
            <wp:effectExtent l="0" t="0" r="0" b="0"/>
            <wp:docPr id="9391681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68177" name="Picture 9391681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7968" cy="1236952"/>
                    </a:xfrm>
                    <a:prstGeom prst="rect">
                      <a:avLst/>
                    </a:prstGeom>
                  </pic:spPr>
                </pic:pic>
              </a:graphicData>
            </a:graphic>
          </wp:inline>
        </w:drawing>
      </w:r>
      <w:r w:rsidR="00B2091D">
        <w:rPr>
          <w:b/>
          <w:bCs/>
          <w:color w:val="1F497D"/>
          <w:sz w:val="24"/>
          <w:szCs w:val="24"/>
        </w:rPr>
        <w:tab/>
      </w:r>
      <w:r w:rsidR="00B2091D">
        <w:rPr>
          <w:b/>
          <w:bCs/>
          <w:color w:val="1F497D"/>
          <w:sz w:val="24"/>
          <w:szCs w:val="24"/>
        </w:rPr>
        <w:tab/>
      </w:r>
      <w:r w:rsidR="00B2091D">
        <w:rPr>
          <w:b/>
          <w:bCs/>
          <w:color w:val="1F497D"/>
          <w:sz w:val="24"/>
          <w:szCs w:val="24"/>
        </w:rPr>
        <w:tab/>
      </w:r>
      <w:r w:rsidR="00B2091D">
        <w:rPr>
          <w:b/>
          <w:bCs/>
          <w:color w:val="1F497D"/>
          <w:sz w:val="24"/>
          <w:szCs w:val="24"/>
        </w:rPr>
        <w:tab/>
      </w:r>
      <w:r w:rsidR="007669E2" w:rsidRPr="00F57A12">
        <w:rPr>
          <w:b/>
          <w:bCs/>
          <w:color w:val="1F497D"/>
          <w:sz w:val="24"/>
          <w:szCs w:val="24"/>
        </w:rPr>
        <w:t xml:space="preserve"> </w:t>
      </w:r>
    </w:p>
    <w:p w14:paraId="2A2A4A0F" w14:textId="6076733C" w:rsidR="006C3D06" w:rsidRDefault="006F570D">
      <w:pPr>
        <w:pBdr>
          <w:top w:val="nil"/>
          <w:left w:val="nil"/>
          <w:bottom w:val="nil"/>
          <w:right w:val="nil"/>
          <w:between w:val="nil"/>
        </w:pBdr>
        <w:spacing w:before="360" w:after="280" w:line="240" w:lineRule="auto"/>
        <w:rPr>
          <w:b/>
          <w:bCs/>
          <w:color w:val="1F497D"/>
          <w:sz w:val="24"/>
          <w:szCs w:val="24"/>
        </w:rPr>
      </w:pPr>
      <w:r>
        <w:rPr>
          <w:b/>
          <w:bCs/>
          <w:color w:val="1F497D"/>
          <w:sz w:val="24"/>
          <w:szCs w:val="24"/>
        </w:rPr>
        <w:t>NOTA DE PRENSA</w:t>
      </w:r>
      <w:r>
        <w:rPr>
          <w:b/>
          <w:bCs/>
          <w:color w:val="1F497D"/>
          <w:sz w:val="24"/>
          <w:szCs w:val="24"/>
        </w:rPr>
        <w:br/>
      </w:r>
      <w:r>
        <w:rPr>
          <w:color w:val="1F497D"/>
        </w:rPr>
        <w:t>2026-</w:t>
      </w:r>
      <w:r w:rsidR="005C5D49">
        <w:rPr>
          <w:color w:val="1F497D"/>
        </w:rPr>
        <w:t>334</w:t>
      </w:r>
      <w:r>
        <w:rPr>
          <w:color w:val="1F497D"/>
        </w:rPr>
        <w:t>-ES</w:t>
      </w:r>
    </w:p>
    <w:p w14:paraId="1F10A958" w14:textId="5023E722" w:rsidR="004A51F4" w:rsidRPr="00F57A12" w:rsidRDefault="00F57A12">
      <w:pPr>
        <w:pBdr>
          <w:top w:val="nil"/>
          <w:left w:val="nil"/>
          <w:bottom w:val="nil"/>
          <w:right w:val="nil"/>
          <w:between w:val="nil"/>
        </w:pBdr>
        <w:spacing w:before="360" w:after="280" w:line="240" w:lineRule="auto"/>
        <w:rPr>
          <w:strike/>
          <w:color w:val="000000"/>
        </w:rPr>
      </w:pPr>
      <w:r w:rsidRPr="00F57A12">
        <w:rPr>
          <w:color w:val="000000"/>
        </w:rPr>
        <w:t>Luxemburgo 13 de octubre de 2026</w:t>
      </w:r>
      <w:r>
        <w:rPr>
          <w:strike/>
          <w:color w:val="000000"/>
        </w:rPr>
        <w:t xml:space="preserve"> </w:t>
      </w:r>
    </w:p>
    <w:p w14:paraId="21D11223" w14:textId="0A0D5F93" w:rsidR="005707FF" w:rsidRDefault="00A72B44" w:rsidP="005C5D49">
      <w:pPr>
        <w:pBdr>
          <w:top w:val="nil"/>
          <w:left w:val="nil"/>
          <w:bottom w:val="nil"/>
          <w:right w:val="nil"/>
          <w:between w:val="nil"/>
        </w:pBdr>
        <w:spacing w:before="280" w:after="280" w:line="240" w:lineRule="auto"/>
        <w:jc w:val="center"/>
        <w:rPr>
          <w:b/>
          <w:bCs/>
          <w:color w:val="000000" w:themeColor="text1"/>
          <w:sz w:val="28"/>
          <w:szCs w:val="28"/>
          <w:lang w:val="es-ES"/>
        </w:rPr>
      </w:pPr>
      <w:r>
        <w:rPr>
          <w:b/>
          <w:bCs/>
          <w:color w:val="000000" w:themeColor="text1"/>
          <w:sz w:val="28"/>
          <w:szCs w:val="28"/>
          <w:lang w:val="es-ES"/>
        </w:rPr>
        <w:t xml:space="preserve">El BEI </w:t>
      </w:r>
      <w:r w:rsidR="006022C1">
        <w:rPr>
          <w:b/>
          <w:bCs/>
          <w:color w:val="000000" w:themeColor="text1"/>
          <w:sz w:val="28"/>
          <w:szCs w:val="28"/>
          <w:lang w:val="es-ES"/>
        </w:rPr>
        <w:t>financia</w:t>
      </w:r>
      <w:r w:rsidR="00030649">
        <w:rPr>
          <w:b/>
          <w:bCs/>
          <w:color w:val="000000" w:themeColor="text1"/>
          <w:sz w:val="28"/>
          <w:szCs w:val="28"/>
          <w:lang w:val="es-ES"/>
        </w:rPr>
        <w:t>rá</w:t>
      </w:r>
      <w:r w:rsidR="005707FF">
        <w:rPr>
          <w:b/>
          <w:bCs/>
          <w:color w:val="000000" w:themeColor="text1"/>
          <w:sz w:val="28"/>
          <w:szCs w:val="28"/>
          <w:lang w:val="es-ES"/>
        </w:rPr>
        <w:t xml:space="preserve"> c</w:t>
      </w:r>
      <w:r w:rsidR="00030649">
        <w:rPr>
          <w:b/>
          <w:bCs/>
          <w:color w:val="000000" w:themeColor="text1"/>
          <w:sz w:val="28"/>
          <w:szCs w:val="28"/>
          <w:lang w:val="es-ES"/>
        </w:rPr>
        <w:t>on</w:t>
      </w:r>
      <w:r w:rsidR="005707FF">
        <w:rPr>
          <w:b/>
          <w:bCs/>
          <w:color w:val="000000" w:themeColor="text1"/>
          <w:sz w:val="28"/>
          <w:szCs w:val="28"/>
          <w:lang w:val="es-ES"/>
        </w:rPr>
        <w:t xml:space="preserve"> </w:t>
      </w:r>
      <w:r w:rsidR="008F62C4">
        <w:rPr>
          <w:b/>
          <w:bCs/>
          <w:color w:val="000000" w:themeColor="text1"/>
          <w:sz w:val="28"/>
          <w:szCs w:val="28"/>
          <w:lang w:val="es-ES"/>
        </w:rPr>
        <w:t>67</w:t>
      </w:r>
      <w:r w:rsidR="005707FF">
        <w:rPr>
          <w:b/>
          <w:bCs/>
          <w:color w:val="000000" w:themeColor="text1"/>
          <w:sz w:val="28"/>
          <w:szCs w:val="28"/>
          <w:lang w:val="es-ES"/>
        </w:rPr>
        <w:t xml:space="preserve"> millones de euros</w:t>
      </w:r>
      <w:r w:rsidR="0060461A">
        <w:rPr>
          <w:b/>
          <w:bCs/>
          <w:color w:val="000000" w:themeColor="text1"/>
          <w:sz w:val="28"/>
          <w:szCs w:val="28"/>
          <w:lang w:val="es-ES"/>
        </w:rPr>
        <w:t xml:space="preserve"> </w:t>
      </w:r>
      <w:r w:rsidR="005707FF">
        <w:rPr>
          <w:b/>
          <w:bCs/>
          <w:color w:val="000000" w:themeColor="text1"/>
          <w:sz w:val="28"/>
          <w:szCs w:val="28"/>
          <w:lang w:val="es-ES"/>
        </w:rPr>
        <w:t>l</w:t>
      </w:r>
      <w:r w:rsidR="0013435F">
        <w:rPr>
          <w:b/>
          <w:bCs/>
          <w:color w:val="000000" w:themeColor="text1"/>
          <w:sz w:val="28"/>
          <w:szCs w:val="28"/>
          <w:lang w:val="es-ES"/>
        </w:rPr>
        <w:t>as infraestructuras de agua en Asturias</w:t>
      </w:r>
    </w:p>
    <w:p w14:paraId="604370A0" w14:textId="0D3B40F4" w:rsidR="00F02DF5" w:rsidRDefault="00E77CAC" w:rsidP="00F02DF5">
      <w:pPr>
        <w:numPr>
          <w:ilvl w:val="0"/>
          <w:numId w:val="1"/>
        </w:numPr>
        <w:pBdr>
          <w:top w:val="nil"/>
          <w:left w:val="nil"/>
          <w:bottom w:val="nil"/>
          <w:right w:val="nil"/>
          <w:between w:val="nil"/>
        </w:pBdr>
        <w:spacing w:before="0" w:line="240" w:lineRule="auto"/>
        <w:jc w:val="both"/>
        <w:rPr>
          <w:b/>
          <w:bCs/>
          <w:color w:val="000000"/>
          <w:sz w:val="21"/>
          <w:szCs w:val="21"/>
        </w:rPr>
      </w:pPr>
      <w:r>
        <w:rPr>
          <w:b/>
          <w:bCs/>
          <w:color w:val="000000"/>
          <w:sz w:val="21"/>
          <w:szCs w:val="21"/>
        </w:rPr>
        <w:t xml:space="preserve">El BEI </w:t>
      </w:r>
      <w:r w:rsidR="0025664C">
        <w:rPr>
          <w:b/>
          <w:bCs/>
          <w:color w:val="000000"/>
          <w:sz w:val="21"/>
          <w:szCs w:val="21"/>
        </w:rPr>
        <w:t>firma</w:t>
      </w:r>
      <w:r>
        <w:rPr>
          <w:b/>
          <w:bCs/>
          <w:color w:val="000000"/>
          <w:sz w:val="21"/>
          <w:szCs w:val="21"/>
        </w:rPr>
        <w:t xml:space="preserve"> un préstamo con </w:t>
      </w:r>
      <w:r w:rsidR="00496755">
        <w:rPr>
          <w:b/>
          <w:bCs/>
          <w:color w:val="000000"/>
          <w:sz w:val="21"/>
          <w:szCs w:val="21"/>
        </w:rPr>
        <w:t xml:space="preserve">el </w:t>
      </w:r>
      <w:r w:rsidR="00496755" w:rsidRPr="00496755">
        <w:rPr>
          <w:b/>
          <w:bCs/>
          <w:color w:val="000000"/>
          <w:sz w:val="21"/>
          <w:szCs w:val="21"/>
        </w:rPr>
        <w:t>Consorcio de Aguas de Asturias</w:t>
      </w:r>
      <w:r w:rsidR="00AF7398">
        <w:rPr>
          <w:b/>
          <w:bCs/>
          <w:color w:val="000000"/>
          <w:sz w:val="21"/>
          <w:szCs w:val="21"/>
        </w:rPr>
        <w:t xml:space="preserve">, </w:t>
      </w:r>
      <w:hyperlink r:id="rId13" w:tgtFrame="_blank" w:history="1">
        <w:r w:rsidR="00496755" w:rsidRPr="00496755">
          <w:rPr>
            <w:rStyle w:val="Hyperlink"/>
            <w:b/>
            <w:bCs/>
            <w:sz w:val="21"/>
            <w:szCs w:val="21"/>
          </w:rPr>
          <w:t>Cadasa</w:t>
        </w:r>
      </w:hyperlink>
      <w:r w:rsidR="00AF7398">
        <w:rPr>
          <w:b/>
          <w:bCs/>
          <w:color w:val="000000"/>
          <w:sz w:val="21"/>
          <w:szCs w:val="21"/>
        </w:rPr>
        <w:t>,</w:t>
      </w:r>
      <w:r w:rsidR="00496755" w:rsidRPr="00496755">
        <w:rPr>
          <w:b/>
          <w:bCs/>
          <w:color w:val="000000"/>
          <w:sz w:val="21"/>
          <w:szCs w:val="21"/>
        </w:rPr>
        <w:t> </w:t>
      </w:r>
      <w:r w:rsidR="00C91656">
        <w:rPr>
          <w:b/>
          <w:bCs/>
          <w:color w:val="000000"/>
          <w:sz w:val="21"/>
          <w:szCs w:val="21"/>
        </w:rPr>
        <w:t xml:space="preserve">para </w:t>
      </w:r>
      <w:r w:rsidR="00AF7398">
        <w:rPr>
          <w:b/>
          <w:bCs/>
          <w:color w:val="000000"/>
          <w:sz w:val="21"/>
          <w:szCs w:val="21"/>
        </w:rPr>
        <w:t xml:space="preserve">reforzar y expandir </w:t>
      </w:r>
      <w:r w:rsidR="002E6DB3">
        <w:rPr>
          <w:b/>
          <w:bCs/>
          <w:color w:val="000000"/>
          <w:sz w:val="21"/>
          <w:szCs w:val="21"/>
        </w:rPr>
        <w:t>la</w:t>
      </w:r>
      <w:r w:rsidR="009238AF">
        <w:rPr>
          <w:b/>
          <w:bCs/>
          <w:color w:val="000000"/>
          <w:sz w:val="21"/>
          <w:szCs w:val="21"/>
        </w:rPr>
        <w:t>s</w:t>
      </w:r>
      <w:r w:rsidR="00D57F85" w:rsidRPr="00D57F85">
        <w:rPr>
          <w:b/>
          <w:bCs/>
          <w:color w:val="000000"/>
          <w:sz w:val="21"/>
          <w:szCs w:val="21"/>
        </w:rPr>
        <w:t xml:space="preserve"> </w:t>
      </w:r>
      <w:r w:rsidR="007E1A24" w:rsidRPr="00D57F85">
        <w:rPr>
          <w:b/>
          <w:bCs/>
          <w:color w:val="000000"/>
          <w:sz w:val="21"/>
          <w:szCs w:val="21"/>
        </w:rPr>
        <w:t xml:space="preserve">infraestructuras </w:t>
      </w:r>
      <w:r w:rsidR="00DE59C2">
        <w:rPr>
          <w:b/>
          <w:bCs/>
          <w:color w:val="000000"/>
          <w:sz w:val="21"/>
          <w:szCs w:val="21"/>
        </w:rPr>
        <w:t xml:space="preserve">hidráulicas </w:t>
      </w:r>
      <w:r w:rsidR="00366FA7">
        <w:rPr>
          <w:b/>
          <w:bCs/>
          <w:color w:val="000000"/>
          <w:sz w:val="21"/>
          <w:szCs w:val="21"/>
        </w:rPr>
        <w:t>de</w:t>
      </w:r>
      <w:r w:rsidR="001B44AD">
        <w:rPr>
          <w:b/>
          <w:bCs/>
          <w:color w:val="000000"/>
          <w:sz w:val="21"/>
          <w:szCs w:val="21"/>
        </w:rPr>
        <w:t xml:space="preserve"> la Comunidad Autónoma.</w:t>
      </w:r>
      <w:r w:rsidR="00FF6EB6">
        <w:rPr>
          <w:b/>
          <w:bCs/>
          <w:color w:val="000000"/>
          <w:sz w:val="21"/>
          <w:szCs w:val="21"/>
        </w:rPr>
        <w:t xml:space="preserve"> </w:t>
      </w:r>
    </w:p>
    <w:p w14:paraId="0ABBE93B" w14:textId="11208ED1" w:rsidR="00F02DF5" w:rsidRDefault="00F02DF5" w:rsidP="00F02DF5">
      <w:pPr>
        <w:numPr>
          <w:ilvl w:val="0"/>
          <w:numId w:val="1"/>
        </w:numPr>
        <w:pBdr>
          <w:top w:val="nil"/>
          <w:left w:val="nil"/>
          <w:bottom w:val="nil"/>
          <w:right w:val="nil"/>
          <w:between w:val="nil"/>
        </w:pBdr>
        <w:spacing w:before="0" w:line="240" w:lineRule="auto"/>
        <w:jc w:val="both"/>
        <w:rPr>
          <w:b/>
          <w:bCs/>
          <w:color w:val="000000"/>
          <w:sz w:val="21"/>
          <w:szCs w:val="21"/>
        </w:rPr>
      </w:pPr>
      <w:r>
        <w:rPr>
          <w:b/>
          <w:bCs/>
          <w:color w:val="000000"/>
          <w:sz w:val="21"/>
          <w:szCs w:val="21"/>
        </w:rPr>
        <w:t>E</w:t>
      </w:r>
      <w:r w:rsidR="00D27E01">
        <w:rPr>
          <w:b/>
          <w:bCs/>
          <w:color w:val="000000"/>
          <w:sz w:val="21"/>
          <w:szCs w:val="21"/>
        </w:rPr>
        <w:t xml:space="preserve">l proyecto contempla </w:t>
      </w:r>
      <w:r w:rsidR="00E07673">
        <w:rPr>
          <w:b/>
          <w:bCs/>
          <w:color w:val="000000"/>
          <w:sz w:val="21"/>
          <w:szCs w:val="21"/>
        </w:rPr>
        <w:t xml:space="preserve">inversiones en </w:t>
      </w:r>
      <w:r w:rsidR="00DA3D87">
        <w:rPr>
          <w:b/>
          <w:bCs/>
          <w:color w:val="000000"/>
          <w:sz w:val="21"/>
          <w:szCs w:val="21"/>
        </w:rPr>
        <w:t>el</w:t>
      </w:r>
      <w:r w:rsidR="00984D84">
        <w:rPr>
          <w:b/>
          <w:bCs/>
          <w:color w:val="000000"/>
          <w:sz w:val="21"/>
          <w:szCs w:val="21"/>
        </w:rPr>
        <w:t xml:space="preserve"> </w:t>
      </w:r>
      <w:r w:rsidR="00E07673">
        <w:rPr>
          <w:b/>
          <w:bCs/>
          <w:color w:val="000000"/>
          <w:sz w:val="21"/>
          <w:szCs w:val="21"/>
        </w:rPr>
        <w:t xml:space="preserve">ciclo integral del agua incluidas </w:t>
      </w:r>
      <w:r w:rsidR="00EF7B69">
        <w:rPr>
          <w:b/>
          <w:bCs/>
          <w:color w:val="000000"/>
          <w:sz w:val="21"/>
          <w:szCs w:val="21"/>
        </w:rPr>
        <w:t xml:space="preserve">nuevas estaciones de bombeo y </w:t>
      </w:r>
      <w:r w:rsidR="005A0C67">
        <w:rPr>
          <w:b/>
          <w:bCs/>
          <w:color w:val="000000"/>
          <w:sz w:val="21"/>
          <w:szCs w:val="21"/>
        </w:rPr>
        <w:t xml:space="preserve">plantas de </w:t>
      </w:r>
      <w:r w:rsidR="00EF7B69">
        <w:rPr>
          <w:b/>
          <w:bCs/>
          <w:color w:val="000000"/>
          <w:sz w:val="21"/>
          <w:szCs w:val="21"/>
        </w:rPr>
        <w:t xml:space="preserve">tratamiento de agua potable, </w:t>
      </w:r>
      <w:r w:rsidR="007E1A24">
        <w:rPr>
          <w:b/>
          <w:bCs/>
          <w:color w:val="000000"/>
          <w:sz w:val="21"/>
          <w:szCs w:val="21"/>
        </w:rPr>
        <w:t>expansión de la red</w:t>
      </w:r>
      <w:r w:rsidR="00984D84">
        <w:rPr>
          <w:b/>
          <w:bCs/>
          <w:color w:val="000000"/>
          <w:sz w:val="21"/>
          <w:szCs w:val="21"/>
        </w:rPr>
        <w:t xml:space="preserve"> y modernización de infraestructuras existentes.</w:t>
      </w:r>
    </w:p>
    <w:p w14:paraId="1D979BA4" w14:textId="31803326" w:rsidR="00A07497" w:rsidRPr="00A07497" w:rsidRDefault="00477B6F" w:rsidP="00477B6F">
      <w:pPr>
        <w:numPr>
          <w:ilvl w:val="0"/>
          <w:numId w:val="1"/>
        </w:numPr>
        <w:pBdr>
          <w:top w:val="nil"/>
          <w:left w:val="nil"/>
          <w:bottom w:val="nil"/>
          <w:right w:val="nil"/>
          <w:between w:val="nil"/>
        </w:pBdr>
        <w:spacing w:before="0" w:line="240" w:lineRule="auto"/>
        <w:jc w:val="both"/>
        <w:rPr>
          <w:rFonts w:ascii="Aptos" w:eastAsiaTheme="minorHAnsi" w:hAnsi="Aptos" w:cs="Aptos"/>
          <w:szCs w:val="24"/>
        </w:rPr>
      </w:pPr>
      <w:r w:rsidRPr="001C685E">
        <w:rPr>
          <w:b/>
          <w:bCs/>
          <w:color w:val="000000"/>
          <w:sz w:val="21"/>
          <w:szCs w:val="21"/>
        </w:rPr>
        <w:t xml:space="preserve">Se espera que las inversiones </w:t>
      </w:r>
      <w:r w:rsidR="008A5C55">
        <w:rPr>
          <w:b/>
          <w:bCs/>
          <w:color w:val="000000"/>
          <w:sz w:val="21"/>
          <w:szCs w:val="21"/>
        </w:rPr>
        <w:t xml:space="preserve">contribuyan a </w:t>
      </w:r>
      <w:r w:rsidR="0056313E">
        <w:rPr>
          <w:b/>
          <w:bCs/>
          <w:color w:val="000000"/>
          <w:sz w:val="21"/>
          <w:szCs w:val="21"/>
        </w:rPr>
        <w:t xml:space="preserve">incrementar la resiliencia de la </w:t>
      </w:r>
      <w:r w:rsidR="00DE59C2">
        <w:rPr>
          <w:b/>
          <w:bCs/>
          <w:color w:val="000000"/>
          <w:sz w:val="21"/>
          <w:szCs w:val="21"/>
        </w:rPr>
        <w:t>red de</w:t>
      </w:r>
      <w:r w:rsidR="00244A62">
        <w:rPr>
          <w:b/>
          <w:bCs/>
          <w:color w:val="000000"/>
          <w:sz w:val="21"/>
          <w:szCs w:val="21"/>
        </w:rPr>
        <w:t xml:space="preserve"> agua</w:t>
      </w:r>
      <w:r w:rsidR="00535F4E">
        <w:rPr>
          <w:b/>
          <w:bCs/>
          <w:color w:val="000000"/>
          <w:sz w:val="21"/>
          <w:szCs w:val="21"/>
        </w:rPr>
        <w:t xml:space="preserve">s </w:t>
      </w:r>
      <w:r w:rsidR="008B6B83">
        <w:rPr>
          <w:b/>
          <w:bCs/>
          <w:color w:val="000000"/>
          <w:sz w:val="21"/>
          <w:szCs w:val="21"/>
        </w:rPr>
        <w:t xml:space="preserve">asturiana </w:t>
      </w:r>
      <w:r w:rsidR="00A07497">
        <w:rPr>
          <w:b/>
          <w:bCs/>
          <w:color w:val="000000"/>
          <w:sz w:val="21"/>
          <w:szCs w:val="21"/>
        </w:rPr>
        <w:t>frente al cambio climático</w:t>
      </w:r>
      <w:r w:rsidR="0003702B">
        <w:rPr>
          <w:b/>
          <w:bCs/>
          <w:color w:val="000000"/>
          <w:sz w:val="21"/>
          <w:szCs w:val="21"/>
        </w:rPr>
        <w:t xml:space="preserve"> y a la cohesión entre regiones</w:t>
      </w:r>
      <w:r w:rsidR="001F5981">
        <w:rPr>
          <w:b/>
          <w:bCs/>
          <w:color w:val="000000"/>
          <w:sz w:val="21"/>
          <w:szCs w:val="21"/>
        </w:rPr>
        <w:t>.</w:t>
      </w:r>
    </w:p>
    <w:p w14:paraId="222E01BA" w14:textId="4B52759C" w:rsidR="00FA7B01" w:rsidRPr="00F57A12" w:rsidRDefault="006F570D" w:rsidP="00836033">
      <w:pPr>
        <w:spacing w:before="0" w:after="0" w:line="240" w:lineRule="auto"/>
        <w:jc w:val="both"/>
        <w:rPr>
          <w:strike/>
          <w:lang w:val="es-ES"/>
        </w:rPr>
      </w:pPr>
      <w:r w:rsidRPr="3FFF0849">
        <w:rPr>
          <w:lang w:val="es-ES"/>
        </w:rPr>
        <w:t xml:space="preserve">El Banco Europeo de Inversiones (BEI), </w:t>
      </w:r>
      <w:r w:rsidR="006022C1">
        <w:rPr>
          <w:lang w:val="es-ES"/>
        </w:rPr>
        <w:t xml:space="preserve">perteneciente al Grupo </w:t>
      </w:r>
      <w:r w:rsidR="000A1F8F">
        <w:rPr>
          <w:lang w:val="es-ES"/>
        </w:rPr>
        <w:t>Banco Europeo de Inversiones</w:t>
      </w:r>
      <w:r w:rsidR="00F57A12">
        <w:rPr>
          <w:lang w:val="es-ES"/>
        </w:rPr>
        <w:t xml:space="preserve"> (</w:t>
      </w:r>
      <w:r w:rsidR="000A1F8F">
        <w:rPr>
          <w:lang w:val="es-ES"/>
        </w:rPr>
        <w:t>Grupo BEI</w:t>
      </w:r>
      <w:r w:rsidR="00F57A12">
        <w:rPr>
          <w:lang w:val="es-ES"/>
        </w:rPr>
        <w:t>)</w:t>
      </w:r>
      <w:r w:rsidR="000A1F8F">
        <w:rPr>
          <w:lang w:val="es-ES"/>
        </w:rPr>
        <w:t xml:space="preserve">, </w:t>
      </w:r>
      <w:r w:rsidR="00544871">
        <w:rPr>
          <w:lang w:val="es-ES"/>
        </w:rPr>
        <w:t xml:space="preserve">ha firmado un préstamo de </w:t>
      </w:r>
      <w:r w:rsidR="00463FEC">
        <w:rPr>
          <w:lang w:val="es-ES"/>
        </w:rPr>
        <w:t>67</w:t>
      </w:r>
      <w:r w:rsidR="000A1F8F">
        <w:rPr>
          <w:lang w:val="es-ES"/>
        </w:rPr>
        <w:t xml:space="preserve"> millones de euros </w:t>
      </w:r>
      <w:r w:rsidR="00544871">
        <w:rPr>
          <w:lang w:val="es-ES"/>
        </w:rPr>
        <w:t>con el Consorcio de Aguas de Asturias (Cadas</w:t>
      </w:r>
      <w:r w:rsidR="001C7C36">
        <w:rPr>
          <w:lang w:val="es-ES"/>
        </w:rPr>
        <w:t xml:space="preserve">a) para </w:t>
      </w:r>
      <w:r w:rsidR="00154F84">
        <w:rPr>
          <w:lang w:val="es-ES"/>
        </w:rPr>
        <w:t>modernizar las infraestructuras h</w:t>
      </w:r>
      <w:r w:rsidR="00CC2DC4">
        <w:rPr>
          <w:lang w:val="es-ES"/>
        </w:rPr>
        <w:t xml:space="preserve">idráulicas </w:t>
      </w:r>
      <w:r w:rsidR="00154F84">
        <w:rPr>
          <w:lang w:val="es-ES"/>
        </w:rPr>
        <w:t>de A</w:t>
      </w:r>
      <w:r w:rsidR="00463FEC">
        <w:rPr>
          <w:lang w:val="es-ES"/>
        </w:rPr>
        <w:t xml:space="preserve">sturias, </w:t>
      </w:r>
      <w:r w:rsidR="00154F84">
        <w:rPr>
          <w:lang w:val="es-ES"/>
        </w:rPr>
        <w:t xml:space="preserve">contribuyendo </w:t>
      </w:r>
      <w:r w:rsidR="009D005F">
        <w:rPr>
          <w:lang w:val="es-ES"/>
        </w:rPr>
        <w:t>a</w:t>
      </w:r>
      <w:r w:rsidR="005C10C8">
        <w:rPr>
          <w:lang w:val="es-ES"/>
        </w:rPr>
        <w:t>sí a</w:t>
      </w:r>
      <w:r w:rsidR="009D005F">
        <w:rPr>
          <w:lang w:val="es-ES"/>
        </w:rPr>
        <w:t xml:space="preserve"> una</w:t>
      </w:r>
      <w:r w:rsidR="00154F84">
        <w:rPr>
          <w:lang w:val="es-ES"/>
        </w:rPr>
        <w:t xml:space="preserve"> </w:t>
      </w:r>
      <w:r w:rsidR="009D005F">
        <w:rPr>
          <w:lang w:val="es-ES"/>
        </w:rPr>
        <w:t>g</w:t>
      </w:r>
      <w:r w:rsidR="009D005F" w:rsidRPr="00D27BB3">
        <w:rPr>
          <w:lang w:val="es-ES"/>
        </w:rPr>
        <w:t>estión eficiente</w:t>
      </w:r>
      <w:r w:rsidR="00044417" w:rsidRPr="00D27BB3">
        <w:rPr>
          <w:lang w:val="es-ES"/>
        </w:rPr>
        <w:t xml:space="preserve"> de </w:t>
      </w:r>
      <w:r w:rsidR="00FA7B01">
        <w:rPr>
          <w:lang w:val="es-ES"/>
        </w:rPr>
        <w:t xml:space="preserve">este </w:t>
      </w:r>
      <w:r w:rsidR="00E73EC1">
        <w:rPr>
          <w:lang w:val="es-ES"/>
        </w:rPr>
        <w:t xml:space="preserve">importante </w:t>
      </w:r>
      <w:r w:rsidR="00FA7B01">
        <w:rPr>
          <w:lang w:val="es-ES"/>
        </w:rPr>
        <w:t>recurso natural</w:t>
      </w:r>
      <w:r w:rsidR="009C4C49">
        <w:rPr>
          <w:lang w:val="es-ES"/>
        </w:rPr>
        <w:t xml:space="preserve"> en la región</w:t>
      </w:r>
      <w:r w:rsidR="00FA7B01">
        <w:rPr>
          <w:lang w:val="es-ES"/>
        </w:rPr>
        <w:t xml:space="preserve">. </w:t>
      </w:r>
      <w:r w:rsidR="00FA7B01" w:rsidRPr="00FA7B01">
        <w:t>Cadasa es el organismo público encargado de garantizar el ciclo integral del agua en Asturias</w:t>
      </w:r>
      <w:r w:rsidR="00F57A12">
        <w:t>.</w:t>
      </w:r>
    </w:p>
    <w:p w14:paraId="35645D78" w14:textId="01C2EBED" w:rsidR="00DA7DAD" w:rsidRDefault="00DA7DAD" w:rsidP="00836033">
      <w:pPr>
        <w:spacing w:before="0" w:after="0" w:line="240" w:lineRule="auto"/>
        <w:jc w:val="both"/>
        <w:rPr>
          <w:lang w:val="es-ES"/>
        </w:rPr>
      </w:pPr>
    </w:p>
    <w:p w14:paraId="5A13401C" w14:textId="43F5A7C5" w:rsidR="005A0C67" w:rsidRDefault="002D2188" w:rsidP="002C40C2">
      <w:pPr>
        <w:spacing w:before="0" w:after="0" w:line="240" w:lineRule="auto"/>
        <w:jc w:val="both"/>
      </w:pPr>
      <w:r>
        <w:rPr>
          <w:lang w:val="es-ES"/>
        </w:rPr>
        <w:t xml:space="preserve">Entre </w:t>
      </w:r>
      <w:r w:rsidRPr="00D7481D">
        <w:rPr>
          <w:lang w:val="es-ES"/>
        </w:rPr>
        <w:t xml:space="preserve">otras actuaciones se </w:t>
      </w:r>
      <w:r w:rsidR="00CF1F37" w:rsidRPr="00D7481D">
        <w:rPr>
          <w:lang w:val="es-ES"/>
        </w:rPr>
        <w:t>prevén</w:t>
      </w:r>
      <w:r w:rsidR="002C40C2" w:rsidRPr="00D7481D">
        <w:rPr>
          <w:lang w:val="es-ES"/>
        </w:rPr>
        <w:t xml:space="preserve"> </w:t>
      </w:r>
      <w:r w:rsidR="005A0C67">
        <w:rPr>
          <w:lang w:val="es-ES"/>
        </w:rPr>
        <w:t>inversiones en nuevas estaciones de bombeo</w:t>
      </w:r>
      <w:r w:rsidR="001C7C36">
        <w:rPr>
          <w:lang w:val="es-ES"/>
        </w:rPr>
        <w:t xml:space="preserve"> como la </w:t>
      </w:r>
      <w:r w:rsidR="00790A20">
        <w:rPr>
          <w:lang w:val="es-ES"/>
        </w:rPr>
        <w:t>del río</w:t>
      </w:r>
      <w:r w:rsidR="000C630B">
        <w:rPr>
          <w:lang w:val="es-ES"/>
        </w:rPr>
        <w:t xml:space="preserve"> Narcea</w:t>
      </w:r>
      <w:r w:rsidR="00D70981">
        <w:rPr>
          <w:lang w:val="es-ES"/>
        </w:rPr>
        <w:t xml:space="preserve"> </w:t>
      </w:r>
      <w:r w:rsidR="00D70981">
        <w:t>para reforzar el suministro de agua en la zona interior central de la región</w:t>
      </w:r>
      <w:r w:rsidR="005A0C67">
        <w:rPr>
          <w:lang w:val="es-ES"/>
        </w:rPr>
        <w:t xml:space="preserve">, </w:t>
      </w:r>
      <w:r w:rsidR="00D424F9" w:rsidRPr="00D424F9">
        <w:t xml:space="preserve">el desdoblamiento de la conducción principal </w:t>
      </w:r>
      <w:r w:rsidR="00D424F9">
        <w:t xml:space="preserve">de la red entre </w:t>
      </w:r>
      <w:r w:rsidR="00D424F9" w:rsidRPr="00D424F9">
        <w:t>Lieres</w:t>
      </w:r>
      <w:r w:rsidR="00E504BC">
        <w:t xml:space="preserve"> y </w:t>
      </w:r>
      <w:r w:rsidR="00D424F9" w:rsidRPr="00D424F9">
        <w:t>Espinierlla</w:t>
      </w:r>
      <w:r w:rsidR="00D424F9">
        <w:t xml:space="preserve">, </w:t>
      </w:r>
      <w:r w:rsidR="0069783D" w:rsidRPr="0069783D">
        <w:t xml:space="preserve">la ampliación de la estación de tratamiento de agua potable </w:t>
      </w:r>
      <w:r w:rsidR="000A449C">
        <w:t xml:space="preserve">(ETAP) </w:t>
      </w:r>
      <w:r w:rsidR="0069783D" w:rsidRPr="0069783D">
        <w:t>de Rioseco</w:t>
      </w:r>
      <w:r w:rsidR="007149CE">
        <w:t>, la conexión de los municipios de Valdés y Pravia a la red central de abastecimiento</w:t>
      </w:r>
      <w:r w:rsidR="007149CE" w:rsidRPr="0069783D">
        <w:t xml:space="preserve"> </w:t>
      </w:r>
      <w:r w:rsidR="0069783D" w:rsidRPr="0069783D">
        <w:t>o la ampliación del sistema de abastecimiento central de Asturias mediante las arterias Oriental y Bajo Nalón</w:t>
      </w:r>
      <w:r w:rsidR="00CE7644">
        <w:t xml:space="preserve">. </w:t>
      </w:r>
    </w:p>
    <w:p w14:paraId="0E714011" w14:textId="77777777" w:rsidR="00FF1CD9" w:rsidRDefault="00FF1CD9" w:rsidP="002C40C2">
      <w:pPr>
        <w:spacing w:before="0" w:after="0" w:line="240" w:lineRule="auto"/>
        <w:jc w:val="both"/>
      </w:pPr>
    </w:p>
    <w:p w14:paraId="5AE9D8AC" w14:textId="02BF0E04" w:rsidR="0061076B" w:rsidRDefault="00F266CE" w:rsidP="0042123E">
      <w:pPr>
        <w:spacing w:before="0" w:after="0" w:line="240" w:lineRule="auto"/>
        <w:jc w:val="both"/>
        <w:rPr>
          <w:lang w:val="es-ES"/>
        </w:rPr>
      </w:pPr>
      <w:r>
        <w:t xml:space="preserve">Las inversiones </w:t>
      </w:r>
      <w:r w:rsidR="00533A5E">
        <w:t xml:space="preserve">aumentarán </w:t>
      </w:r>
      <w:r w:rsidR="00556E7A">
        <w:t xml:space="preserve">la </w:t>
      </w:r>
      <w:r w:rsidR="00556E7A" w:rsidRPr="00556E7A">
        <w:rPr>
          <w:lang w:val="es-ES"/>
        </w:rPr>
        <w:t>capacidad de</w:t>
      </w:r>
      <w:r w:rsidR="00A14EFD">
        <w:rPr>
          <w:lang w:val="es-ES"/>
        </w:rPr>
        <w:t xml:space="preserve">l principado </w:t>
      </w:r>
      <w:r w:rsidR="004E0A37">
        <w:rPr>
          <w:lang w:val="es-ES"/>
        </w:rPr>
        <w:t xml:space="preserve">para </w:t>
      </w:r>
      <w:r w:rsidR="00364517">
        <w:rPr>
          <w:lang w:val="es-ES"/>
        </w:rPr>
        <w:t xml:space="preserve">el tratamiento de agua potable, </w:t>
      </w:r>
      <w:r w:rsidR="00E85D46">
        <w:rPr>
          <w:lang w:val="es-ES"/>
        </w:rPr>
        <w:t>ref</w:t>
      </w:r>
      <w:r w:rsidR="00533A5E">
        <w:rPr>
          <w:lang w:val="es-ES"/>
        </w:rPr>
        <w:t>orzarán</w:t>
      </w:r>
      <w:r w:rsidR="00F84ED1">
        <w:rPr>
          <w:lang w:val="es-ES"/>
        </w:rPr>
        <w:t xml:space="preserve"> </w:t>
      </w:r>
      <w:r w:rsidR="00E85D46">
        <w:rPr>
          <w:lang w:val="es-ES"/>
        </w:rPr>
        <w:t>la calidad del agua y contribu</w:t>
      </w:r>
      <w:r w:rsidR="00533A5E">
        <w:rPr>
          <w:lang w:val="es-ES"/>
        </w:rPr>
        <w:t>irán a</w:t>
      </w:r>
      <w:r w:rsidR="00A30B5B">
        <w:rPr>
          <w:lang w:val="es-ES"/>
        </w:rPr>
        <w:t xml:space="preserve"> la seguridad </w:t>
      </w:r>
      <w:r w:rsidR="004E0A37">
        <w:rPr>
          <w:lang w:val="es-ES"/>
        </w:rPr>
        <w:t>hídrica</w:t>
      </w:r>
      <w:r w:rsidR="00A30B5B">
        <w:rPr>
          <w:lang w:val="es-ES"/>
        </w:rPr>
        <w:t xml:space="preserve"> de</w:t>
      </w:r>
      <w:r w:rsidR="0078238D">
        <w:rPr>
          <w:lang w:val="es-ES"/>
        </w:rPr>
        <w:t xml:space="preserve"> la región al contar con infraestructuras más resilientes </w:t>
      </w:r>
      <w:r w:rsidR="0010099C">
        <w:rPr>
          <w:lang w:val="es-ES"/>
        </w:rPr>
        <w:t>y adaptadas al cambio climático</w:t>
      </w:r>
      <w:r w:rsidR="00556E7A" w:rsidRPr="00556E7A">
        <w:rPr>
          <w:lang w:val="es-ES"/>
        </w:rPr>
        <w:t xml:space="preserve">. </w:t>
      </w:r>
      <w:r w:rsidR="008369BA">
        <w:rPr>
          <w:lang w:val="es-ES"/>
        </w:rPr>
        <w:t>E</w:t>
      </w:r>
      <w:r w:rsidR="00A3542F">
        <w:rPr>
          <w:lang w:val="es-ES"/>
        </w:rPr>
        <w:t xml:space="preserve">l proyecto contribuye así a </w:t>
      </w:r>
      <w:r w:rsidR="00E50C32" w:rsidRPr="00E50C32">
        <w:rPr>
          <w:lang w:val="es-ES"/>
        </w:rPr>
        <w:t xml:space="preserve">poder satisfacer las necesidades de agua de </w:t>
      </w:r>
      <w:r w:rsidR="000250D4">
        <w:rPr>
          <w:lang w:val="es-ES"/>
        </w:rPr>
        <w:t xml:space="preserve">los ciudadanos y las empresas de Asturias en </w:t>
      </w:r>
      <w:r w:rsidR="00E50C32" w:rsidRPr="00E50C32">
        <w:rPr>
          <w:lang w:val="es-ES"/>
        </w:rPr>
        <w:t>un entorno climático más incierto</w:t>
      </w:r>
      <w:r w:rsidR="00284981">
        <w:rPr>
          <w:lang w:val="es-ES"/>
        </w:rPr>
        <w:t xml:space="preserve"> </w:t>
      </w:r>
      <w:r w:rsidR="00E50C32" w:rsidRPr="00E50C32">
        <w:rPr>
          <w:lang w:val="es-ES"/>
        </w:rPr>
        <w:t>y variable</w:t>
      </w:r>
      <w:r w:rsidR="00A3542F">
        <w:rPr>
          <w:lang w:val="es-ES"/>
        </w:rPr>
        <w:t>.</w:t>
      </w:r>
    </w:p>
    <w:p w14:paraId="75C33A22" w14:textId="77777777" w:rsidR="000F3602" w:rsidRDefault="000F3602" w:rsidP="0042123E">
      <w:pPr>
        <w:spacing w:before="0" w:after="0" w:line="240" w:lineRule="auto"/>
        <w:jc w:val="both"/>
        <w:rPr>
          <w:lang w:val="es-ES"/>
        </w:rPr>
      </w:pPr>
    </w:p>
    <w:p w14:paraId="6B613BE6" w14:textId="050BA869" w:rsidR="000F3602" w:rsidRDefault="000576E2" w:rsidP="000F3602">
      <w:pPr>
        <w:spacing w:before="0" w:after="0" w:line="240" w:lineRule="auto"/>
        <w:jc w:val="both"/>
        <w:rPr>
          <w:i/>
          <w:iCs/>
          <w:lang w:val="es-ES"/>
        </w:rPr>
      </w:pPr>
      <w:r>
        <w:rPr>
          <w:lang w:val="es-ES"/>
        </w:rPr>
        <w:t xml:space="preserve">El préstamo se ha ratificado en un </w:t>
      </w:r>
      <w:r w:rsidR="00F95061">
        <w:rPr>
          <w:lang w:val="es-ES"/>
        </w:rPr>
        <w:t>acto de firma celebrado hoy en Luxemburgo en las instalaciones del BE</w:t>
      </w:r>
      <w:r w:rsidR="00F57A12">
        <w:rPr>
          <w:lang w:val="es-ES"/>
        </w:rPr>
        <w:t>I</w:t>
      </w:r>
      <w:r w:rsidR="00F95061">
        <w:rPr>
          <w:lang w:val="es-ES"/>
        </w:rPr>
        <w:t xml:space="preserve">. </w:t>
      </w:r>
      <w:r w:rsidR="000F3602">
        <w:rPr>
          <w:lang w:val="es-ES"/>
        </w:rPr>
        <w:t xml:space="preserve">Durante </w:t>
      </w:r>
      <w:r w:rsidR="00F95061">
        <w:rPr>
          <w:lang w:val="es-ES"/>
        </w:rPr>
        <w:t>el evento</w:t>
      </w:r>
      <w:r w:rsidR="000F3602">
        <w:rPr>
          <w:lang w:val="es-ES"/>
        </w:rPr>
        <w:t xml:space="preserve">, el </w:t>
      </w:r>
      <w:r w:rsidR="007F2D5C" w:rsidRPr="00F57A12">
        <w:rPr>
          <w:b/>
          <w:bCs/>
        </w:rPr>
        <w:t>director de Operaciones del BEI para el Sector Público en la UE</w:t>
      </w:r>
      <w:r w:rsidR="000F3602">
        <w:rPr>
          <w:lang w:val="es-ES"/>
        </w:rPr>
        <w:t xml:space="preserve">, Gilles Badot, destacó: </w:t>
      </w:r>
      <w:r w:rsidR="000F3602" w:rsidRPr="007F2D5C">
        <w:rPr>
          <w:lang w:val="es-ES"/>
        </w:rPr>
        <w:t>“</w:t>
      </w:r>
      <w:r w:rsidR="000F3602" w:rsidRPr="00F57A12">
        <w:rPr>
          <w:lang w:val="es-ES"/>
        </w:rPr>
        <w:t>Nos complace enormemente renovar nuestra colaboración con el Principado de Asturias a través de esta operación, nuestro primer acuerdo de financiación con esta Comunidad Autónoma en 17 años. Esta firma constituye un hito importante en nuestro compromiso de largo recorrido con el apoyo al desarrollo sostenible en toda España. Las inversiones en infraestructuras hidráulicas son esenciales para mejorar la calidad de vida, proteger los recursos naturales y reforzar la resiliencia frente a los crecientes desafíos derivados del cambio climático. Al apoyar la modernización y ampliación de las redes de abastecimiento y de las instalaciones de tratamiento de agua, contribuimos a garantizar un suministro de agua seguro, eficiente y sostenible para ciudadanos y empresas, al tiempo que favorecemos la protección del medio ambiente y la competitividad regional</w:t>
      </w:r>
      <w:r w:rsidR="007669E2">
        <w:rPr>
          <w:lang w:val="es-ES"/>
        </w:rPr>
        <w:t>”</w:t>
      </w:r>
      <w:r w:rsidR="000F3602" w:rsidRPr="007F2D5C">
        <w:rPr>
          <w:i/>
          <w:iCs/>
          <w:lang w:val="es-ES"/>
        </w:rPr>
        <w:t>.</w:t>
      </w:r>
    </w:p>
    <w:p w14:paraId="0370D64E" w14:textId="77777777" w:rsidR="00F57A12" w:rsidRDefault="00F57A12" w:rsidP="007669E2">
      <w:pPr>
        <w:spacing w:before="0" w:after="0" w:line="240" w:lineRule="auto"/>
        <w:jc w:val="both"/>
        <w:rPr>
          <w:lang w:val="es-ES"/>
        </w:rPr>
      </w:pPr>
    </w:p>
    <w:p w14:paraId="5CE294AD" w14:textId="44DF49F9" w:rsidR="007669E2" w:rsidRPr="007F2D5C" w:rsidRDefault="007669E2" w:rsidP="000F3602">
      <w:pPr>
        <w:spacing w:before="0" w:after="0" w:line="240" w:lineRule="auto"/>
        <w:jc w:val="both"/>
        <w:rPr>
          <w:i/>
          <w:iCs/>
          <w:lang w:val="es-ES"/>
        </w:rPr>
      </w:pPr>
      <w:r w:rsidRPr="000148AF">
        <w:rPr>
          <w:lang w:val="es-ES"/>
        </w:rPr>
        <w:lastRenderedPageBreak/>
        <w:t xml:space="preserve">Por su parte, el </w:t>
      </w:r>
      <w:r w:rsidR="00F57A12" w:rsidRPr="00F57A12">
        <w:rPr>
          <w:b/>
          <w:bCs/>
        </w:rPr>
        <w:t>consejero</w:t>
      </w:r>
      <w:r w:rsidRPr="00F57A12">
        <w:rPr>
          <w:b/>
          <w:bCs/>
        </w:rPr>
        <w:t xml:space="preserve"> de </w:t>
      </w:r>
      <w:r w:rsidR="000A449C" w:rsidRPr="00F57A12">
        <w:rPr>
          <w:b/>
          <w:bCs/>
        </w:rPr>
        <w:t>Movilidad, Medio Ambiente y Gestión de Emergencias</w:t>
      </w:r>
      <w:r w:rsidRPr="00F57A12">
        <w:rPr>
          <w:b/>
          <w:bCs/>
        </w:rPr>
        <w:t xml:space="preserve"> </w:t>
      </w:r>
      <w:r w:rsidR="00F35325" w:rsidRPr="00F57A12">
        <w:rPr>
          <w:b/>
          <w:bCs/>
        </w:rPr>
        <w:t xml:space="preserve">del Gobierno del Principado de Asturias </w:t>
      </w:r>
      <w:r w:rsidR="00F57A12" w:rsidRPr="00F57A12">
        <w:rPr>
          <w:b/>
          <w:bCs/>
        </w:rPr>
        <w:t>y</w:t>
      </w:r>
      <w:r w:rsidRPr="00F57A12">
        <w:rPr>
          <w:b/>
          <w:bCs/>
          <w:lang w:val="es-ES"/>
        </w:rPr>
        <w:t xml:space="preserve"> </w:t>
      </w:r>
      <w:r w:rsidR="00506C30" w:rsidRPr="00F57A12">
        <w:rPr>
          <w:b/>
          <w:bCs/>
          <w:lang w:val="es-ES"/>
        </w:rPr>
        <w:t>p</w:t>
      </w:r>
      <w:r w:rsidRPr="00F57A12">
        <w:rPr>
          <w:b/>
          <w:bCs/>
          <w:lang w:val="es-ES"/>
        </w:rPr>
        <w:t xml:space="preserve">residente de </w:t>
      </w:r>
      <w:r w:rsidR="00506C30" w:rsidRPr="00F57A12">
        <w:rPr>
          <w:b/>
          <w:bCs/>
          <w:lang w:val="es-ES"/>
        </w:rPr>
        <w:t>Cadasa</w:t>
      </w:r>
      <w:r w:rsidRPr="00F57A12">
        <w:rPr>
          <w:b/>
          <w:bCs/>
          <w:lang w:val="es-ES"/>
        </w:rPr>
        <w:t>, Alejandro Calvo</w:t>
      </w:r>
      <w:r w:rsidRPr="000148AF">
        <w:rPr>
          <w:lang w:val="es-ES"/>
        </w:rPr>
        <w:t>,</w:t>
      </w:r>
      <w:r w:rsidR="00506C30" w:rsidRPr="000148AF">
        <w:rPr>
          <w:lang w:val="es-ES"/>
        </w:rPr>
        <w:t xml:space="preserve"> ha destacado que “</w:t>
      </w:r>
      <w:r w:rsidR="0040639F">
        <w:rPr>
          <w:lang w:val="es-ES"/>
        </w:rPr>
        <w:t xml:space="preserve">este préstamo </w:t>
      </w:r>
      <w:r w:rsidR="00506C30" w:rsidRPr="00F57A12">
        <w:t xml:space="preserve">supone un importante respaldo a las políticas de gestión del ciclo integral del agua </w:t>
      </w:r>
      <w:r w:rsidR="0040639F">
        <w:t xml:space="preserve">que desarrolla </w:t>
      </w:r>
      <w:r w:rsidR="00506C30" w:rsidRPr="00F57A12">
        <w:t>el Ejecutivo asturiano</w:t>
      </w:r>
      <w:r w:rsidR="000148AF" w:rsidRPr="00F57A12">
        <w:t xml:space="preserve"> </w:t>
      </w:r>
      <w:r w:rsidR="00F57A12" w:rsidRPr="00F57A12">
        <w:t>y refuerza</w:t>
      </w:r>
      <w:r w:rsidR="000148AF" w:rsidRPr="00F57A12">
        <w:t xml:space="preserve"> la </w:t>
      </w:r>
      <w:r w:rsidR="00506C30" w:rsidRPr="00F57A12">
        <w:t>planificación y ejecución de las infraestructuras hídricas de la comunidad</w:t>
      </w:r>
      <w:r w:rsidR="000148AF" w:rsidRPr="00F57A12">
        <w:t xml:space="preserve">. </w:t>
      </w:r>
      <w:r w:rsidR="000148AF" w:rsidRPr="00F57A12">
        <w:rPr>
          <w:color w:val="232323"/>
        </w:rPr>
        <w:t xml:space="preserve">Con este apoyo financiero se podrá movilizar una inversión superior a 211 millones, con el objetivo de mejorar la capacidad de adaptación del sistema de abastecimiento, garantizar el cumplimiento de las directivas europeas y avanzar en la sostenibilidad ambiental y climática”. </w:t>
      </w:r>
    </w:p>
    <w:p w14:paraId="02807FAA" w14:textId="77777777" w:rsidR="000F3602" w:rsidRPr="00F57A12" w:rsidRDefault="000F3602" w:rsidP="0042123E">
      <w:pPr>
        <w:spacing w:before="0" w:after="0" w:line="240" w:lineRule="auto"/>
        <w:jc w:val="both"/>
        <w:rPr>
          <w:i/>
          <w:iCs/>
          <w:lang w:val="es-ES"/>
        </w:rPr>
      </w:pPr>
    </w:p>
    <w:p w14:paraId="40614843" w14:textId="0F237EF8" w:rsidR="00044417" w:rsidRDefault="00044417" w:rsidP="00013A7D">
      <w:pPr>
        <w:spacing w:before="0" w:after="0" w:line="240" w:lineRule="auto"/>
        <w:jc w:val="both"/>
        <w:rPr>
          <w:lang w:val="es-ES"/>
        </w:rPr>
      </w:pPr>
    </w:p>
    <w:p w14:paraId="11748073" w14:textId="07FA9C8E" w:rsidR="00DC2209" w:rsidRDefault="00DC2209" w:rsidP="00013A7D">
      <w:pPr>
        <w:spacing w:before="0" w:after="0" w:line="240" w:lineRule="auto"/>
        <w:jc w:val="both"/>
        <w:rPr>
          <w:b/>
          <w:bCs/>
          <w:lang w:val="es-ES"/>
        </w:rPr>
      </w:pPr>
      <w:r w:rsidRPr="00823A6D">
        <w:rPr>
          <w:b/>
          <w:bCs/>
          <w:lang w:val="es-ES"/>
        </w:rPr>
        <w:t>Apoyo del BEI a la gestión eficiente del agua</w:t>
      </w:r>
    </w:p>
    <w:p w14:paraId="78185E93" w14:textId="77777777" w:rsidR="009524AD" w:rsidRPr="00823A6D" w:rsidRDefault="009524AD" w:rsidP="00013A7D">
      <w:pPr>
        <w:spacing w:before="0" w:after="0" w:line="240" w:lineRule="auto"/>
        <w:jc w:val="both"/>
        <w:rPr>
          <w:b/>
          <w:bCs/>
          <w:lang w:val="es-ES"/>
        </w:rPr>
      </w:pPr>
    </w:p>
    <w:p w14:paraId="4DC2FDB7" w14:textId="3B38F3BD" w:rsidR="009524AD" w:rsidRDefault="00667997" w:rsidP="00013A7D">
      <w:pPr>
        <w:spacing w:before="0" w:after="0" w:line="240" w:lineRule="auto"/>
        <w:jc w:val="both"/>
        <w:rPr>
          <w:lang w:val="es-ES"/>
        </w:rPr>
      </w:pPr>
      <w:r>
        <w:rPr>
          <w:lang w:val="es-ES"/>
        </w:rPr>
        <w:t xml:space="preserve">Contribuir a una gestión eficiente de un recurso natural </w:t>
      </w:r>
      <w:r w:rsidR="00F40FB4">
        <w:rPr>
          <w:lang w:val="es-ES"/>
        </w:rPr>
        <w:t xml:space="preserve">de vital importancia </w:t>
      </w:r>
      <w:r w:rsidR="00823A6D">
        <w:rPr>
          <w:lang w:val="es-ES"/>
        </w:rPr>
        <w:t xml:space="preserve">como es el agua es una prioridad para el BEI. </w:t>
      </w:r>
      <w:r w:rsidR="002A7B43">
        <w:rPr>
          <w:lang w:val="es-ES"/>
        </w:rPr>
        <w:t xml:space="preserve">La operación con </w:t>
      </w:r>
      <w:r w:rsidR="007E1A24">
        <w:rPr>
          <w:lang w:val="es-ES"/>
        </w:rPr>
        <w:t>Cadasa</w:t>
      </w:r>
      <w:r w:rsidR="009524AD" w:rsidRPr="002262F1">
        <w:rPr>
          <w:lang w:val="es-ES"/>
        </w:rPr>
        <w:t xml:space="preserve"> forma parte del Programa de Resiliencia Hídrica del Grupo BEI, una iniciativa que contempla 15.000 millones de euros de inversión entre 2025 y 2027 para reforzar la seguridad hídrica, modernizar infraestructuras y promover una gestión más sostenible del agua en Europa y en el resto del mundo. El programa constituye la principal contribución financiera del BEI a la Estrategia Europea de Resiliencia Hídrica y contribuirá a movilizar hasta 40.000 millones de euros en inversiones.</w:t>
      </w:r>
    </w:p>
    <w:p w14:paraId="1919E2D0" w14:textId="77777777" w:rsidR="009524AD" w:rsidRDefault="009524AD" w:rsidP="00013A7D">
      <w:pPr>
        <w:spacing w:before="0" w:after="0" w:line="240" w:lineRule="auto"/>
        <w:jc w:val="both"/>
        <w:rPr>
          <w:lang w:val="es-ES"/>
        </w:rPr>
      </w:pPr>
    </w:p>
    <w:p w14:paraId="14A30861" w14:textId="73DFC2C5" w:rsidR="00571BBD" w:rsidRDefault="00F01EA7" w:rsidP="00013A7D">
      <w:pPr>
        <w:spacing w:before="0" w:after="0" w:line="240" w:lineRule="auto"/>
        <w:jc w:val="both"/>
        <w:rPr>
          <w:lang w:val="es-ES"/>
        </w:rPr>
      </w:pPr>
      <w:r>
        <w:rPr>
          <w:lang w:val="es-ES"/>
        </w:rPr>
        <w:t>En España</w:t>
      </w:r>
      <w:r w:rsidR="003F1013">
        <w:rPr>
          <w:lang w:val="es-ES"/>
        </w:rPr>
        <w:t>, la</w:t>
      </w:r>
      <w:r w:rsidR="00DC2209">
        <w:rPr>
          <w:lang w:val="es-ES"/>
        </w:rPr>
        <w:t xml:space="preserve"> financiación </w:t>
      </w:r>
      <w:r w:rsidR="00D27448">
        <w:rPr>
          <w:lang w:val="es-ES"/>
        </w:rPr>
        <w:t xml:space="preserve">que el BEI destinó </w:t>
      </w:r>
      <w:r w:rsidR="00823A6D">
        <w:rPr>
          <w:lang w:val="es-ES"/>
        </w:rPr>
        <w:t>a proyectos</w:t>
      </w:r>
      <w:r w:rsidR="00DC2209">
        <w:rPr>
          <w:lang w:val="es-ES"/>
        </w:rPr>
        <w:t xml:space="preserve"> que contribuy</w:t>
      </w:r>
      <w:r w:rsidR="00F40FB4">
        <w:rPr>
          <w:lang w:val="es-ES"/>
        </w:rPr>
        <w:t>e</w:t>
      </w:r>
      <w:r w:rsidR="00DC2209">
        <w:rPr>
          <w:lang w:val="es-ES"/>
        </w:rPr>
        <w:t>n a una gestión eficiente de</w:t>
      </w:r>
      <w:r w:rsidR="00D27448">
        <w:rPr>
          <w:lang w:val="es-ES"/>
        </w:rPr>
        <w:t xml:space="preserve">l agua en 2025 alcanzó la cifra récord de </w:t>
      </w:r>
      <w:r w:rsidR="00667997">
        <w:rPr>
          <w:lang w:val="es-ES"/>
        </w:rPr>
        <w:t>570 millones de euros, mant</w:t>
      </w:r>
      <w:r w:rsidR="00571BBD">
        <w:rPr>
          <w:lang w:val="es-ES"/>
        </w:rPr>
        <w:t xml:space="preserve">eniendo el fuerte impulso dado a esta línea de acción </w:t>
      </w:r>
      <w:r w:rsidR="00076848">
        <w:rPr>
          <w:lang w:val="es-ES"/>
        </w:rPr>
        <w:t xml:space="preserve">por el BEI </w:t>
      </w:r>
      <w:r w:rsidR="00571BBD">
        <w:rPr>
          <w:lang w:val="es-ES"/>
        </w:rPr>
        <w:t xml:space="preserve">en el ejercicio anterior. </w:t>
      </w:r>
    </w:p>
    <w:p w14:paraId="09E52AD0" w14:textId="77777777" w:rsidR="00571BBD" w:rsidRDefault="00571BBD" w:rsidP="00013A7D">
      <w:pPr>
        <w:spacing w:before="0" w:after="0" w:line="240" w:lineRule="auto"/>
        <w:jc w:val="both"/>
        <w:rPr>
          <w:lang w:val="es-ES"/>
        </w:rPr>
      </w:pPr>
    </w:p>
    <w:p w14:paraId="12885092" w14:textId="77777777" w:rsidR="00BF3C63" w:rsidRDefault="00B2286E" w:rsidP="00013A7D">
      <w:pPr>
        <w:spacing w:before="0" w:after="0" w:line="240" w:lineRule="auto"/>
        <w:jc w:val="both"/>
      </w:pPr>
      <w:r w:rsidRPr="00902D82">
        <w:t xml:space="preserve">Esta operación contribuye de forma significativa </w:t>
      </w:r>
      <w:r w:rsidRPr="00B2286E">
        <w:t xml:space="preserve">a los objetivos de acción por el clima </w:t>
      </w:r>
      <w:r w:rsidR="00FF30A4">
        <w:t xml:space="preserve">y cohesión entre regiones </w:t>
      </w:r>
      <w:r w:rsidRPr="00B2286E">
        <w:t>del Grupo BEI recogidos en su </w:t>
      </w:r>
      <w:hyperlink r:id="rId14" w:tgtFrame="_blank" w:history="1">
        <w:r w:rsidRPr="00B2286E">
          <w:rPr>
            <w:rStyle w:val="Hyperlink"/>
          </w:rPr>
          <w:t>Hoja de Ruta Estratégica</w:t>
        </w:r>
      </w:hyperlink>
      <w:r w:rsidRPr="00B2286E">
        <w:t> para el período 2024-2027 y en la </w:t>
      </w:r>
      <w:hyperlink r:id="rId15" w:tgtFrame="_blank" w:history="1">
        <w:r w:rsidRPr="00B2286E">
          <w:rPr>
            <w:rStyle w:val="Hyperlink"/>
          </w:rPr>
          <w:t>segunda fase de la Hoja de Ruta del Banco del Clima</w:t>
        </w:r>
      </w:hyperlink>
      <w:r w:rsidRPr="00B2286E">
        <w:t> para el período 2026-2030.</w:t>
      </w:r>
      <w:r w:rsidR="00D4599C">
        <w:t xml:space="preserve"> </w:t>
      </w:r>
    </w:p>
    <w:p w14:paraId="789F8F0B" w14:textId="77777777" w:rsidR="00BF3C63" w:rsidRDefault="00BF3C63" w:rsidP="00013A7D">
      <w:pPr>
        <w:spacing w:before="0" w:after="0" w:line="240" w:lineRule="auto"/>
        <w:jc w:val="both"/>
      </w:pPr>
    </w:p>
    <w:p w14:paraId="2060E836" w14:textId="259EC691" w:rsidR="00B2286E" w:rsidRDefault="00D4599C" w:rsidP="00013A7D">
      <w:pPr>
        <w:spacing w:before="0" w:after="0" w:line="240" w:lineRule="auto"/>
        <w:jc w:val="both"/>
        <w:rPr>
          <w:lang w:val="es-ES"/>
        </w:rPr>
      </w:pPr>
      <w:r>
        <w:t xml:space="preserve">El proyecto cuenta también con una subvención </w:t>
      </w:r>
      <w:r w:rsidR="00BF3C63">
        <w:t>de 10</w:t>
      </w:r>
      <w:r w:rsidR="004B4820">
        <w:t>,5</w:t>
      </w:r>
      <w:r w:rsidR="00BF3C63">
        <w:t xml:space="preserve"> millones de euros </w:t>
      </w:r>
      <w:r w:rsidR="00E33D7B">
        <w:t xml:space="preserve">asociada al préstamo BEI </w:t>
      </w:r>
      <w:r w:rsidR="00BF3C63">
        <w:t>a cargo del</w:t>
      </w:r>
      <w:r w:rsidR="00BF3C63">
        <w:rPr>
          <w:lang w:val="es-ES"/>
        </w:rPr>
        <w:t xml:space="preserve"> </w:t>
      </w:r>
      <w:hyperlink r:id="rId16" w:history="1">
        <w:r w:rsidR="00BF3C63" w:rsidRPr="009E2454">
          <w:rPr>
            <w:rStyle w:val="Hyperlink"/>
          </w:rPr>
          <w:t>Mecanismo para una Transición Justa (MTJ)</w:t>
        </w:r>
      </w:hyperlink>
      <w:r w:rsidR="00BF3C63">
        <w:t xml:space="preserve">, instrumento de la Comisión Europea </w:t>
      </w:r>
      <w:r w:rsidR="00BF3C63" w:rsidRPr="00BF3C63">
        <w:t xml:space="preserve">que ayuda a las regiones a mitigar los efectos sociales y económicos de la transición ecológica para alcanzar los objetivos </w:t>
      </w:r>
      <w:r w:rsidR="003733C9">
        <w:t>de acción por el clima</w:t>
      </w:r>
      <w:r w:rsidR="00BF3C63" w:rsidRPr="00BF3C63">
        <w:t xml:space="preserve"> de la UE. </w:t>
      </w:r>
    </w:p>
    <w:p w14:paraId="0E8D16C0" w14:textId="07EFE5D6" w:rsidR="006C3D06" w:rsidRDefault="00A17DC5">
      <w:pPr>
        <w:pBdr>
          <w:top w:val="nil"/>
          <w:left w:val="nil"/>
          <w:bottom w:val="nil"/>
          <w:right w:val="nil"/>
          <w:between w:val="nil"/>
        </w:pBdr>
        <w:spacing w:before="280" w:after="280" w:line="240" w:lineRule="auto"/>
        <w:rPr>
          <w:b/>
          <w:bCs/>
          <w:color w:val="000000"/>
          <w:sz w:val="22"/>
          <w:szCs w:val="22"/>
        </w:rPr>
      </w:pPr>
      <w:r>
        <w:rPr>
          <w:b/>
          <w:bCs/>
          <w:color w:val="000000"/>
          <w:sz w:val="22"/>
          <w:szCs w:val="22"/>
        </w:rPr>
        <w:t>I</w:t>
      </w:r>
      <w:r w:rsidR="006F570D">
        <w:rPr>
          <w:b/>
          <w:bCs/>
          <w:color w:val="000000"/>
          <w:sz w:val="22"/>
          <w:szCs w:val="22"/>
        </w:rPr>
        <w:t>nform</w:t>
      </w:r>
      <w:r w:rsidR="005C5D49">
        <w:rPr>
          <w:b/>
          <w:bCs/>
          <w:color w:val="000000"/>
          <w:sz w:val="22"/>
          <w:szCs w:val="22"/>
        </w:rPr>
        <w:t>a</w:t>
      </w:r>
      <w:r w:rsidR="006F570D">
        <w:rPr>
          <w:b/>
          <w:bCs/>
          <w:color w:val="000000"/>
          <w:sz w:val="22"/>
          <w:szCs w:val="22"/>
        </w:rPr>
        <w:t>ción general</w:t>
      </w:r>
    </w:p>
    <w:p w14:paraId="68AFEEC8" w14:textId="77777777" w:rsidR="00EB3C26" w:rsidRDefault="00EB3C26" w:rsidP="00EB3C26">
      <w:pPr>
        <w:spacing w:before="0" w:after="0" w:line="240" w:lineRule="auto"/>
        <w:jc w:val="both"/>
      </w:pPr>
      <w:r>
        <w:rPr>
          <w:b/>
        </w:rPr>
        <w:t>Grupo BEI </w:t>
      </w:r>
      <w:r>
        <w:rPr>
          <w:rFonts w:ascii="Cambria Math" w:hAnsi="Cambria Math"/>
        </w:rPr>
        <w:t> </w:t>
      </w:r>
    </w:p>
    <w:p w14:paraId="6CD005C4" w14:textId="77777777" w:rsidR="005C5D49" w:rsidRDefault="005C5D49" w:rsidP="00EB3C26">
      <w:pPr>
        <w:spacing w:before="100" w:beforeAutospacing="1" w:after="100" w:afterAutospacing="1" w:line="240" w:lineRule="auto"/>
        <w:jc w:val="both"/>
      </w:pPr>
      <w:r w:rsidRPr="005C5D49">
        <w:rPr>
          <w:lang w:val="es-ES"/>
        </w:rPr>
        <w:t>El Grupo Banco Europeo de Inversiones (</w:t>
      </w:r>
      <w:hyperlink r:id="rId17" w:tgtFrame="_blank" w:history="1">
        <w:r w:rsidRPr="005C5D49">
          <w:rPr>
            <w:rStyle w:val="Hyperlink"/>
            <w:lang w:val="es-ES"/>
          </w:rPr>
          <w:t>Grupo BEI</w:t>
        </w:r>
      </w:hyperlink>
      <w:r w:rsidRPr="005C5D49">
        <w:rPr>
          <w:lang w:val="es-ES"/>
        </w:rPr>
        <w:t>) es el brazo financiero de la Unión Europea, cuyos accionistas son los 27 Estados miembros, y es uno de los bancos multilaterales de desarrollo más grandes del mundo. En 2025, el Grupo BEI firmó 100 000 millones de euros de nueva financiación y servicios de asesoramiento para más de 870 </w:t>
      </w:r>
      <w:hyperlink r:id="rId18" w:tgtFrame="_blank" w:history="1">
        <w:r w:rsidRPr="005C5D49">
          <w:rPr>
            <w:rStyle w:val="Hyperlink"/>
            <w:lang w:val="es-ES"/>
          </w:rPr>
          <w:t>proyectos de alto impacto</w:t>
        </w:r>
      </w:hyperlink>
      <w:r w:rsidRPr="005C5D49">
        <w:rPr>
          <w:lang w:val="es-ES"/>
        </w:rPr>
        <w:t> dentro de sus </w:t>
      </w:r>
      <w:hyperlink r:id="rId19" w:tgtFrame="_blank" w:history="1">
        <w:r w:rsidRPr="005C5D49">
          <w:rPr>
            <w:rStyle w:val="Hyperlink"/>
            <w:lang w:val="es-ES"/>
          </w:rPr>
          <w:t>ocho prioridades fundamentales</w:t>
        </w:r>
      </w:hyperlink>
      <w:r w:rsidRPr="005C5D49">
        <w:rPr>
          <w:lang w:val="es-ES"/>
        </w:rPr>
        <w:t xml:space="preserve"> que contribuyen a los </w:t>
      </w:r>
      <w:hyperlink r:id="rId20" w:tgtFrame="_blank" w:history="1">
        <w:r w:rsidRPr="005C5D49">
          <w:rPr>
            <w:rStyle w:val="Hyperlink"/>
            <w:lang w:val="es-ES"/>
          </w:rPr>
          <w:t>objetivos estratégicos</w:t>
        </w:r>
      </w:hyperlink>
      <w:r w:rsidRPr="005C5D49">
        <w:rPr>
          <w:lang w:val="es-ES"/>
        </w:rPr>
        <w:t xml:space="preserve"> de la UE: la acción por el clima y el medio ambiente, la digitalización y la innovación tecnológica, la seguridad y la defensa, la cohesión territorial, la agricultura y la bioeconomía, las infraestructuras sociales, las alianzas a nivel global y la Unión de Ahorros e Inversiones. Más allá de los préstamos a largo plazo para grandes infraestructuras, el Grupo BEI atrae inversión privada para empresas y proyectos innovadores de alto riesgo, y desempeña un papel cada vez mayor en los mercados europeos de </w:t>
      </w:r>
      <w:r w:rsidRPr="005C5D49">
        <w:rPr>
          <w:i/>
          <w:iCs/>
          <w:lang w:val="es-ES"/>
        </w:rPr>
        <w:t>venture debt</w:t>
      </w:r>
      <w:r w:rsidRPr="005C5D49">
        <w:rPr>
          <w:lang w:val="es-ES"/>
        </w:rPr>
        <w:t>, capital riesgo, garantías y titulizaciones.</w:t>
      </w:r>
      <w:r w:rsidRPr="005C5D49">
        <w:t> </w:t>
      </w:r>
    </w:p>
    <w:p w14:paraId="7E4A03EE" w14:textId="066A5A25" w:rsidR="00EB3C26" w:rsidRDefault="00EB3C26" w:rsidP="00EB3C26">
      <w:pPr>
        <w:spacing w:before="100" w:beforeAutospacing="1" w:after="100" w:afterAutospacing="1" w:line="240" w:lineRule="auto"/>
        <w:jc w:val="both"/>
      </w:pPr>
      <w:r>
        <w:t>El Fondo Europeo de Inversiones (</w:t>
      </w:r>
      <w:hyperlink r:id="rId21" w:tgtFrame="_blank" w:history="1">
        <w:r w:rsidR="005C5D49" w:rsidRPr="005C5D49">
          <w:rPr>
            <w:rStyle w:val="Hyperlink"/>
            <w:lang w:val="es-ES"/>
          </w:rPr>
          <w:t>FEI</w:t>
        </w:r>
      </w:hyperlink>
      <w:r>
        <w:t>) es la filial del Grupo BEI especializada en proporcionar garantías, titulizaciones y capital para mejorar el acceso a la financiación de las pequeñas y medianas empresas y las empresas emergentes (</w:t>
      </w:r>
      <w:r>
        <w:rPr>
          <w:i/>
          <w:iCs/>
        </w:rPr>
        <w:t>startups</w:t>
      </w:r>
      <w:r>
        <w:t>) en toda Europa. En su calidad de inversor ancla, el FEI moviliza la inversión privada e impulsa el ecosistema de fondos de capital riesgo para apoyar a los emprendedores europeos innovadores a través de una amplia red de bancos y fondos de inversión asociados. Con el respaldo de los 27 Estados miembros de la UE, el FEI ha creado junto con inversores institucionales una alianza paneuropea para movilizar hasta 80.000 millones de euros en inversiones con el fin de lograr que las empresas innovadoras se conviertan en líderes mundiales. Este esfuerzo conjunto ampliará tanto el volumen como el alcance de la exitosa iniciativa European Tech Champions, que, desde su puesta en marcha hace tres años, ha contribuido a la creación de 15 mega fondos europeos y al crecimiento de 50 empresas, entre ellas 15 unicornios.</w:t>
      </w:r>
    </w:p>
    <w:p w14:paraId="7885C854" w14:textId="5DF3B19D" w:rsidR="00EB3C26" w:rsidRDefault="00EB3C26" w:rsidP="00EB3C26">
      <w:pPr>
        <w:spacing w:before="100" w:beforeAutospacing="1" w:after="100" w:afterAutospacing="1" w:line="240" w:lineRule="auto"/>
        <w:jc w:val="both"/>
        <w:rPr>
          <w:rFonts w:ascii="Cambria Math" w:hAnsi="Cambria Math"/>
        </w:rPr>
      </w:pPr>
      <w:r>
        <w:t xml:space="preserve">Puede encontrar fotografías de los representantes del Grupo BEI y de su sede, así como archivos con el logotipo y secuencias de vídeo B-roll para los medios de comunicación </w:t>
      </w:r>
      <w:hyperlink r:id="rId22" w:tgtFrame="_blank" w:history="1">
        <w:r w:rsidR="005C5D49" w:rsidRPr="005C5D49">
          <w:rPr>
            <w:rStyle w:val="Hyperlink"/>
            <w:lang w:val="es-ES"/>
          </w:rPr>
          <w:t>aquí</w:t>
        </w:r>
      </w:hyperlink>
      <w:r>
        <w:t>.</w:t>
      </w:r>
      <w:r>
        <w:rPr>
          <w:rFonts w:ascii="Cambria Math" w:hAnsi="Cambria Math"/>
        </w:rPr>
        <w:t> </w:t>
      </w:r>
    </w:p>
    <w:p w14:paraId="675F96A4" w14:textId="77777777" w:rsidR="00B227FD" w:rsidRPr="00F57A12" w:rsidRDefault="00B227FD" w:rsidP="00B227FD">
      <w:pPr>
        <w:pBdr>
          <w:top w:val="nil"/>
          <w:left w:val="nil"/>
          <w:bottom w:val="nil"/>
          <w:right w:val="nil"/>
          <w:between w:val="nil"/>
        </w:pBdr>
        <w:spacing w:before="0" w:after="0" w:line="240" w:lineRule="auto"/>
        <w:rPr>
          <w:b/>
          <w:bCs/>
          <w:color w:val="000000"/>
          <w:lang w:val="es-ES"/>
        </w:rPr>
      </w:pPr>
      <w:r w:rsidRPr="00F57A12">
        <w:rPr>
          <w:b/>
          <w:bCs/>
          <w:color w:val="000000"/>
          <w:lang w:val="es-ES"/>
        </w:rPr>
        <w:lastRenderedPageBreak/>
        <w:t>Cadasa</w:t>
      </w:r>
    </w:p>
    <w:p w14:paraId="70D725A4" w14:textId="77777777" w:rsidR="00C45F4D" w:rsidRPr="00F57A12" w:rsidRDefault="00C45F4D" w:rsidP="004E37CC">
      <w:pPr>
        <w:spacing w:before="0" w:after="0" w:line="240" w:lineRule="auto"/>
        <w:jc w:val="both"/>
      </w:pPr>
    </w:p>
    <w:p w14:paraId="4DBF7BC5" w14:textId="77777777" w:rsidR="00F57A12" w:rsidRDefault="004E37CC" w:rsidP="00F57A12">
      <w:pPr>
        <w:spacing w:before="0" w:after="0" w:line="240" w:lineRule="auto"/>
        <w:jc w:val="both"/>
      </w:pPr>
      <w:r w:rsidRPr="00F57A12">
        <w:t xml:space="preserve">El Consorcio de Aguas de Asturias (Cadasa), entidad pública integrada por el Gobierno del Principado y 39 ayuntamientos, trabaja para garantizar una gestión eficiente, sostenible y solidaria de los recursos hídricos. </w:t>
      </w:r>
      <w:r w:rsidRPr="00F57A12">
        <w:rPr>
          <w:rFonts w:eastAsia="Times New Roman"/>
          <w:color w:val="000000"/>
          <w:bdr w:val="none" w:sz="0" w:space="0" w:color="auto" w:frame="1"/>
          <w:lang w:eastAsia="es-ES"/>
        </w:rPr>
        <w:t xml:space="preserve">El consorcio es, ante todo, un proyecto compartido, en el que el Gobierno asturiano y las entidades locales suman capacidades, recursos y experiencia para prestar un servicio público esencial con criterios de eficiencia, solidaridad y cohesión territorial. </w:t>
      </w:r>
      <w:r w:rsidRPr="00F57A12">
        <w:t>Su actividad abarca tanto el abastecimiento de agua en alta como la gestión de sistemas de saneamiento y depuración de aguas residuales. En conjunto presta servicio a casi el 83% de la población asturiana, lo que supone llegar a 785.000 personas.</w:t>
      </w:r>
    </w:p>
    <w:p w14:paraId="713783A8" w14:textId="77777777" w:rsidR="00F57A12" w:rsidRDefault="00F57A12" w:rsidP="00F57A12">
      <w:pPr>
        <w:spacing w:before="0" w:after="0" w:line="240" w:lineRule="auto"/>
        <w:jc w:val="both"/>
      </w:pPr>
    </w:p>
    <w:p w14:paraId="493DD779" w14:textId="45FC0ACF" w:rsidR="004E37CC" w:rsidRDefault="004E37CC" w:rsidP="00F57A12">
      <w:pPr>
        <w:spacing w:before="0" w:after="0" w:line="240" w:lineRule="auto"/>
        <w:jc w:val="both"/>
        <w:rPr>
          <w:rFonts w:eastAsia="Times New Roman"/>
          <w:color w:val="000000"/>
          <w:bdr w:val="none" w:sz="0" w:space="0" w:color="auto" w:frame="1"/>
          <w:lang w:eastAsia="es-ES"/>
        </w:rPr>
      </w:pPr>
      <w:r w:rsidRPr="00F57A12">
        <w:rPr>
          <w:rFonts w:eastAsia="Times New Roman"/>
          <w:color w:val="000000"/>
          <w:bdr w:val="none" w:sz="0" w:space="0" w:color="auto" w:frame="1"/>
          <w:lang w:eastAsia="es-ES"/>
        </w:rPr>
        <w:t xml:space="preserve">Cadasa garantiza el abastecimiento a 25 municipios y gestiona una red que incluye 41 sistemas de saneamiento, 46 estaciones depuradoras, 218 estaciones de bombeo y más de 500 infraestructuras complementarias, infraestructuras municipales. Precisamente, entre sus prioridades están dar apoyo para la mejora de los sistemas locales de regulación, potabilización y distribución para que tengan suficiente capacidad de tratamiento y respuesta para garantizar el servicio, incluso cuando disminuyen temporalmente los recursos disponibles o aumente la demanda, a través de la construcción o mejora de los depósitos, el refuerzo de las instalaciones de potabilización y la extensión de las conexiones con los sistemas supramunicipales. </w:t>
      </w:r>
    </w:p>
    <w:p w14:paraId="40C3B9F9" w14:textId="77777777" w:rsidR="00F57A12" w:rsidRPr="00F57A12" w:rsidRDefault="00F57A12" w:rsidP="00F57A12">
      <w:pPr>
        <w:spacing w:before="0" w:after="0" w:line="240" w:lineRule="auto"/>
        <w:jc w:val="both"/>
        <w:rPr>
          <w:rFonts w:eastAsia="Times New Roman"/>
          <w:color w:val="000000"/>
          <w:bdr w:val="none" w:sz="0" w:space="0" w:color="auto" w:frame="1"/>
          <w:lang w:eastAsia="es-ES"/>
        </w:rPr>
      </w:pPr>
    </w:p>
    <w:p w14:paraId="64800C01" w14:textId="77777777" w:rsidR="004E37CC" w:rsidRPr="00F57A12" w:rsidRDefault="004E37CC" w:rsidP="004E37CC">
      <w:pPr>
        <w:spacing w:before="0" w:after="0" w:line="240" w:lineRule="auto"/>
        <w:jc w:val="both"/>
        <w:rPr>
          <w:rFonts w:eastAsia="Times New Roman"/>
          <w:color w:val="000000"/>
          <w:bdr w:val="none" w:sz="0" w:space="0" w:color="auto" w:frame="1"/>
          <w:lang w:eastAsia="es-ES"/>
        </w:rPr>
      </w:pPr>
      <w:r w:rsidRPr="00F57A12">
        <w:rPr>
          <w:rFonts w:eastAsia="Times New Roman"/>
          <w:color w:val="000000"/>
          <w:bdr w:val="none" w:sz="0" w:space="0" w:color="auto" w:frame="1"/>
          <w:lang w:eastAsia="es-ES"/>
        </w:rPr>
        <w:t>La modernización y digitalización del ciclo integral del agua constituyen otra de sus líneas estratégicas. En este ámbito, Cadasa participa en los proyectos con financiación europea: D’AQUA, ANDA y ARREUDOS 100, lo que sitúa a Asturias como la única comunidad con tres proyectos estratégicos para la recuperación y transformación económica (PERTE) de Digitalización del Ciclo del Agua. Estas iniciativas movilizan más de 32 millones de euros, del programa Next GenerationEU, que suponen un impulso a la transformación digital del sector, mejorar la gestión de las infraestructuras y avanzar hacia un uso más eficiente y sostenible de los recursos hídricos.</w:t>
      </w:r>
    </w:p>
    <w:p w14:paraId="1F597468" w14:textId="77777777" w:rsidR="004E37CC" w:rsidRPr="00F57A12" w:rsidRDefault="004E37CC" w:rsidP="004E37CC">
      <w:pPr>
        <w:spacing w:before="0" w:after="0" w:line="240" w:lineRule="auto"/>
        <w:jc w:val="both"/>
        <w:rPr>
          <w:rFonts w:eastAsia="Times New Roman"/>
          <w:color w:val="000000"/>
          <w:bdr w:val="none" w:sz="0" w:space="0" w:color="auto" w:frame="1"/>
          <w:lang w:eastAsia="es-ES"/>
        </w:rPr>
      </w:pPr>
    </w:p>
    <w:p w14:paraId="45D37ECA" w14:textId="40B844D4" w:rsidR="004E37CC" w:rsidRPr="00F57A12" w:rsidRDefault="004E37CC" w:rsidP="002E0E8B">
      <w:pPr>
        <w:spacing w:before="0" w:after="0" w:line="240" w:lineRule="auto"/>
        <w:jc w:val="both"/>
        <w:rPr>
          <w:rFonts w:eastAsia="Times New Roman"/>
          <w:color w:val="000000"/>
          <w:bdr w:val="none" w:sz="0" w:space="0" w:color="auto" w:frame="1"/>
          <w:lang w:eastAsia="es-ES"/>
        </w:rPr>
      </w:pPr>
      <w:r w:rsidRPr="00F57A12">
        <w:rPr>
          <w:rFonts w:eastAsia="Times New Roman"/>
          <w:color w:val="000000"/>
          <w:bdr w:val="none" w:sz="0" w:space="0" w:color="auto" w:frame="1"/>
          <w:lang w:eastAsia="es-ES"/>
        </w:rPr>
        <w:t>El agua va a ser uno de los grandes retos de las próximas décadas, de ahí la necesidad e importancia de la anticipación y construcción de un sistema más diversificado, interconectado y resistente. Precisamente, a través de Cadasa el Gobierno de Asturias contribuye a reforzar la seguridad hídrica, mejorar la resiliencia de sus infraestructuras frente al cambio climático y garantizar la prestación de un servicio público esencial basado en la eficiencia, la sostenibilidad ambiental y la cooperación entre administraciones.</w:t>
      </w:r>
    </w:p>
    <w:p w14:paraId="34E24D8D" w14:textId="77777777" w:rsidR="00BF163E" w:rsidRPr="00F57A12" w:rsidRDefault="00BF163E" w:rsidP="00F57A12">
      <w:pPr>
        <w:pBdr>
          <w:top w:val="nil"/>
          <w:left w:val="nil"/>
          <w:bottom w:val="nil"/>
          <w:right w:val="nil"/>
          <w:between w:val="nil"/>
        </w:pBdr>
        <w:spacing w:before="0" w:after="0" w:line="240" w:lineRule="auto"/>
        <w:jc w:val="both"/>
        <w:rPr>
          <w:rFonts w:eastAsia="Times New Roman"/>
          <w:color w:val="000000"/>
          <w:bdr w:val="none" w:sz="0" w:space="0" w:color="auto" w:frame="1"/>
          <w:lang w:eastAsia="es-ES"/>
        </w:rPr>
      </w:pPr>
    </w:p>
    <w:p w14:paraId="2D3E8739" w14:textId="77777777" w:rsidR="006C3D06" w:rsidRPr="001F0DFF" w:rsidRDefault="006F570D">
      <w:pPr>
        <w:pBdr>
          <w:top w:val="nil"/>
          <w:left w:val="nil"/>
          <w:bottom w:val="nil"/>
          <w:right w:val="nil"/>
          <w:between w:val="nil"/>
        </w:pBdr>
        <w:spacing w:before="0" w:after="0" w:line="240" w:lineRule="auto"/>
        <w:rPr>
          <w:b/>
          <w:bCs/>
          <w:color w:val="000000"/>
          <w:sz w:val="22"/>
          <w:szCs w:val="22"/>
          <w:lang w:val="pt-PT"/>
        </w:rPr>
      </w:pPr>
      <w:r w:rsidRPr="001F0DFF">
        <w:rPr>
          <w:b/>
          <w:bCs/>
          <w:color w:val="000000"/>
          <w:sz w:val="22"/>
          <w:szCs w:val="22"/>
          <w:lang w:val="pt-PT"/>
        </w:rPr>
        <w:t>Contactos de prensa:</w:t>
      </w:r>
    </w:p>
    <w:p w14:paraId="52D66F52" w14:textId="77777777" w:rsidR="006C3D06" w:rsidRPr="001F0DFF" w:rsidRDefault="006C3D06">
      <w:pPr>
        <w:pBdr>
          <w:top w:val="nil"/>
          <w:left w:val="nil"/>
          <w:bottom w:val="nil"/>
          <w:right w:val="nil"/>
          <w:between w:val="nil"/>
        </w:pBdr>
        <w:spacing w:before="0" w:after="0" w:line="240" w:lineRule="auto"/>
        <w:rPr>
          <w:b/>
          <w:bCs/>
          <w:color w:val="000000"/>
          <w:sz w:val="22"/>
          <w:szCs w:val="22"/>
          <w:lang w:val="pt-PT"/>
        </w:rPr>
      </w:pPr>
    </w:p>
    <w:p w14:paraId="7651F7A5" w14:textId="77777777" w:rsidR="005C5D49" w:rsidRDefault="006F570D">
      <w:pPr>
        <w:spacing w:before="0" w:after="0" w:line="240" w:lineRule="auto"/>
        <w:rPr>
          <w:b/>
          <w:bCs/>
          <w:lang w:val="pt-PT"/>
        </w:rPr>
      </w:pPr>
      <w:r w:rsidRPr="001F0DFF">
        <w:rPr>
          <w:b/>
          <w:bCs/>
          <w:lang w:val="pt-PT"/>
        </w:rPr>
        <w:t>BEI</w:t>
      </w:r>
      <w:r w:rsidRPr="001F0DFF">
        <w:rPr>
          <w:b/>
          <w:bCs/>
          <w:lang w:val="pt-PT"/>
        </w:rPr>
        <w:br/>
      </w:r>
    </w:p>
    <w:p w14:paraId="07797FEC" w14:textId="296A83E0" w:rsidR="006C3D06" w:rsidRPr="001F0DFF" w:rsidRDefault="006F570D">
      <w:pPr>
        <w:spacing w:before="0" w:after="0" w:line="240" w:lineRule="auto"/>
        <w:rPr>
          <w:lang w:val="pt-PT"/>
        </w:rPr>
      </w:pPr>
      <w:r w:rsidRPr="001F0DFF">
        <w:rPr>
          <w:b/>
          <w:bCs/>
          <w:lang w:val="pt-PT"/>
        </w:rPr>
        <w:t>Maite Cordero </w:t>
      </w:r>
      <w:r w:rsidRPr="001F0DFF">
        <w:rPr>
          <w:lang w:val="pt-PT"/>
        </w:rPr>
        <w:t xml:space="preserve">| </w:t>
      </w:r>
      <w:r w:rsidRPr="001F0DFF">
        <w:rPr>
          <w:color w:val="1F497D"/>
          <w:u w:val="single"/>
          <w:lang w:val="pt-PT"/>
        </w:rPr>
        <w:t>m.corderomunoz@eib.org</w:t>
      </w:r>
      <w:r w:rsidRPr="001F0DFF">
        <w:rPr>
          <w:lang w:val="pt-PT"/>
        </w:rPr>
        <w:t xml:space="preserve"> | Tel.: +34 606 66 82 62</w:t>
      </w:r>
    </w:p>
    <w:p w14:paraId="638FF949" w14:textId="77777777" w:rsidR="005C5D49" w:rsidRPr="005C5D49" w:rsidRDefault="005C5D49" w:rsidP="005C5D49">
      <w:pPr>
        <w:pStyle w:val="Body"/>
        <w:rPr>
          <w:rFonts w:ascii="Arial" w:hAnsi="Arial" w:cs="Arial"/>
          <w:sz w:val="20"/>
          <w:szCs w:val="20"/>
        </w:rPr>
      </w:pPr>
      <w:r w:rsidRPr="005C5D49">
        <w:rPr>
          <w:rFonts w:ascii="Arial" w:hAnsi="Arial" w:cs="Arial"/>
          <w:sz w:val="20"/>
          <w:szCs w:val="20"/>
        </w:rPr>
        <w:t xml:space="preserve">Sitio web: </w:t>
      </w:r>
      <w:hyperlink r:id="rId23" w:history="1">
        <w:r w:rsidRPr="005C5D49">
          <w:rPr>
            <w:rStyle w:val="Hyperlink"/>
            <w:rFonts w:ascii="Arial" w:hAnsi="Arial" w:cs="Arial"/>
            <w:sz w:val="20"/>
            <w:szCs w:val="20"/>
          </w:rPr>
          <w:t>www.eib.org/press</w:t>
        </w:r>
      </w:hyperlink>
      <w:r w:rsidRPr="005C5D49">
        <w:rPr>
          <w:rFonts w:ascii="Arial" w:hAnsi="Arial" w:cs="Arial"/>
          <w:sz w:val="20"/>
          <w:szCs w:val="20"/>
        </w:rPr>
        <w:t xml:space="preserve"> | Oficina de Prensa: </w:t>
      </w:r>
      <w:hyperlink r:id="rId24" w:history="1">
        <w:r w:rsidRPr="005C5D49">
          <w:rPr>
            <w:rStyle w:val="Hyperlink"/>
            <w:rFonts w:ascii="Arial" w:hAnsi="Arial" w:cs="Arial"/>
            <w:sz w:val="20"/>
            <w:szCs w:val="20"/>
          </w:rPr>
          <w:t>Press contact form</w:t>
        </w:r>
      </w:hyperlink>
    </w:p>
    <w:p w14:paraId="7AEDA298" w14:textId="77777777" w:rsidR="00677BFE" w:rsidRDefault="00677BFE" w:rsidP="00677BFE">
      <w:pPr>
        <w:spacing w:before="0" w:after="0" w:line="240" w:lineRule="auto"/>
        <w:rPr>
          <w:lang w:val="it-IT"/>
        </w:rPr>
      </w:pPr>
      <w:r w:rsidRPr="00F57A12">
        <w:rPr>
          <w:lang w:val="pt-PT"/>
        </w:rPr>
        <w:br/>
      </w:r>
      <w:r>
        <w:rPr>
          <w:noProof/>
          <w:lang w:val="es-ES" w:eastAsia="es-ES"/>
        </w:rPr>
        <w:drawing>
          <wp:inline distT="0" distB="0" distL="0" distR="0" wp14:anchorId="09838F24" wp14:editId="17171D8A">
            <wp:extent cx="146050" cy="146050"/>
            <wp:effectExtent l="0" t="0" r="0" b="0"/>
            <wp:docPr id="1456439741" name="image7.gif" descr="Linkedin icon hyperlink"/>
            <wp:cNvGraphicFramePr/>
            <a:graphic xmlns:a="http://schemas.openxmlformats.org/drawingml/2006/main">
              <a:graphicData uri="http://schemas.openxmlformats.org/drawingml/2006/picture">
                <pic:pic xmlns:pic="http://schemas.openxmlformats.org/drawingml/2006/picture">
                  <pic:nvPicPr>
                    <pic:cNvPr id="0" name="image7.gif" descr="Linkedin icon hyperlink"/>
                    <pic:cNvPicPr preferRelativeResize="0"/>
                  </pic:nvPicPr>
                  <pic:blipFill>
                    <a:blip r:embed="rId25"/>
                    <a:srcRect/>
                    <a:stretch>
                      <a:fillRect/>
                    </a:stretch>
                  </pic:blipFill>
                  <pic:spPr>
                    <a:xfrm>
                      <a:off x="0" y="0"/>
                      <a:ext cx="146050" cy="146050"/>
                    </a:xfrm>
                    <a:prstGeom prst="rect">
                      <a:avLst/>
                    </a:prstGeom>
                    <a:ln/>
                  </pic:spPr>
                </pic:pic>
              </a:graphicData>
            </a:graphic>
          </wp:inline>
        </w:drawing>
      </w:r>
      <w:r w:rsidRPr="001F0DFF">
        <w:rPr>
          <w:lang w:val="it-IT"/>
        </w:rPr>
        <w:t xml:space="preserve">  </w:t>
      </w:r>
      <w:r>
        <w:rPr>
          <w:noProof/>
          <w:lang w:val="es-ES" w:eastAsia="es-ES"/>
        </w:rPr>
        <w:drawing>
          <wp:inline distT="0" distB="0" distL="0" distR="0" wp14:anchorId="6CD4F938" wp14:editId="4169BB20">
            <wp:extent cx="146050" cy="146050"/>
            <wp:effectExtent l="0" t="0" r="0" b="0"/>
            <wp:docPr id="1848428615" name="image2.gif" descr="Instagram icon hyperlink"/>
            <wp:cNvGraphicFramePr/>
            <a:graphic xmlns:a="http://schemas.openxmlformats.org/drawingml/2006/main">
              <a:graphicData uri="http://schemas.openxmlformats.org/drawingml/2006/picture">
                <pic:pic xmlns:pic="http://schemas.openxmlformats.org/drawingml/2006/picture">
                  <pic:nvPicPr>
                    <pic:cNvPr id="0" name="image2.gif" descr="Instagram icon hyperlink"/>
                    <pic:cNvPicPr preferRelativeResize="0"/>
                  </pic:nvPicPr>
                  <pic:blipFill>
                    <a:blip r:embed="rId26"/>
                    <a:srcRect/>
                    <a:stretch>
                      <a:fillRect/>
                    </a:stretch>
                  </pic:blipFill>
                  <pic:spPr>
                    <a:xfrm>
                      <a:off x="0" y="0"/>
                      <a:ext cx="146050" cy="146050"/>
                    </a:xfrm>
                    <a:prstGeom prst="rect">
                      <a:avLst/>
                    </a:prstGeom>
                    <a:ln/>
                  </pic:spPr>
                </pic:pic>
              </a:graphicData>
            </a:graphic>
          </wp:inline>
        </w:drawing>
      </w:r>
      <w:r w:rsidRPr="001F0DFF">
        <w:rPr>
          <w:lang w:val="it-IT"/>
        </w:rPr>
        <w:t xml:space="preserve">  </w:t>
      </w:r>
      <w:r>
        <w:rPr>
          <w:noProof/>
          <w:lang w:val="es-ES" w:eastAsia="es-ES"/>
        </w:rPr>
        <w:drawing>
          <wp:inline distT="0" distB="0" distL="0" distR="0" wp14:anchorId="103C961E" wp14:editId="7F57A80E">
            <wp:extent cx="144780" cy="144780"/>
            <wp:effectExtent l="0" t="0" r="0" b="0"/>
            <wp:docPr id="850556960"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27"/>
                    <a:srcRect/>
                    <a:stretch>
                      <a:fillRect/>
                    </a:stretch>
                  </pic:blipFill>
                  <pic:spPr>
                    <a:xfrm>
                      <a:off x="0" y="0"/>
                      <a:ext cx="144780" cy="144780"/>
                    </a:xfrm>
                    <a:prstGeom prst="rect">
                      <a:avLst/>
                    </a:prstGeom>
                    <a:ln/>
                  </pic:spPr>
                </pic:pic>
              </a:graphicData>
            </a:graphic>
          </wp:inline>
        </w:drawing>
      </w:r>
      <w:r w:rsidRPr="001F0DFF">
        <w:rPr>
          <w:lang w:val="it-IT"/>
        </w:rPr>
        <w:t xml:space="preserve">  </w:t>
      </w:r>
      <w:r>
        <w:rPr>
          <w:noProof/>
          <w:lang w:val="es-ES" w:eastAsia="es-ES"/>
        </w:rPr>
        <w:drawing>
          <wp:inline distT="0" distB="0" distL="0" distR="0" wp14:anchorId="60D712E6" wp14:editId="35FCFE76">
            <wp:extent cx="144780" cy="144780"/>
            <wp:effectExtent l="0" t="0" r="0" b="0"/>
            <wp:docPr id="1567588147" name="image10.gif"/>
            <wp:cNvGraphicFramePr/>
            <a:graphic xmlns:a="http://schemas.openxmlformats.org/drawingml/2006/main">
              <a:graphicData uri="http://schemas.openxmlformats.org/drawingml/2006/picture">
                <pic:pic xmlns:pic="http://schemas.openxmlformats.org/drawingml/2006/picture">
                  <pic:nvPicPr>
                    <pic:cNvPr id="0" name="image10.gif"/>
                    <pic:cNvPicPr preferRelativeResize="0"/>
                  </pic:nvPicPr>
                  <pic:blipFill>
                    <a:blip r:embed="rId28"/>
                    <a:srcRect/>
                    <a:stretch>
                      <a:fillRect/>
                    </a:stretch>
                  </pic:blipFill>
                  <pic:spPr>
                    <a:xfrm>
                      <a:off x="0" y="0"/>
                      <a:ext cx="144780" cy="144780"/>
                    </a:xfrm>
                    <a:prstGeom prst="rect">
                      <a:avLst/>
                    </a:prstGeom>
                    <a:ln/>
                  </pic:spPr>
                </pic:pic>
              </a:graphicData>
            </a:graphic>
          </wp:inline>
        </w:drawing>
      </w:r>
      <w:r w:rsidRPr="001F0DFF">
        <w:rPr>
          <w:lang w:val="it-IT"/>
        </w:rPr>
        <w:t xml:space="preserve">  </w:t>
      </w:r>
      <w:r>
        <w:rPr>
          <w:noProof/>
          <w:lang w:val="es-ES" w:eastAsia="es-ES"/>
        </w:rPr>
        <w:drawing>
          <wp:inline distT="0" distB="0" distL="0" distR="0" wp14:anchorId="45BAC6D7" wp14:editId="296AF502">
            <wp:extent cx="146050" cy="146050"/>
            <wp:effectExtent l="0" t="0" r="0" b="0"/>
            <wp:docPr id="1027747730" name="image6.gif"/>
            <wp:cNvGraphicFramePr/>
            <a:graphic xmlns:a="http://schemas.openxmlformats.org/drawingml/2006/main">
              <a:graphicData uri="http://schemas.openxmlformats.org/drawingml/2006/picture">
                <pic:pic xmlns:pic="http://schemas.openxmlformats.org/drawingml/2006/picture">
                  <pic:nvPicPr>
                    <pic:cNvPr id="0" name="image6.gif"/>
                    <pic:cNvPicPr preferRelativeResize="0"/>
                  </pic:nvPicPr>
                  <pic:blipFill>
                    <a:blip r:embed="rId29"/>
                    <a:srcRect/>
                    <a:stretch>
                      <a:fillRect/>
                    </a:stretch>
                  </pic:blipFill>
                  <pic:spPr>
                    <a:xfrm>
                      <a:off x="0" y="0"/>
                      <a:ext cx="146050" cy="146050"/>
                    </a:xfrm>
                    <a:prstGeom prst="rect">
                      <a:avLst/>
                    </a:prstGeom>
                    <a:ln/>
                  </pic:spPr>
                </pic:pic>
              </a:graphicData>
            </a:graphic>
          </wp:inline>
        </w:drawing>
      </w:r>
      <w:r w:rsidRPr="001F0DFF">
        <w:rPr>
          <w:lang w:val="it-IT"/>
        </w:rPr>
        <w:t xml:space="preserve">  </w:t>
      </w:r>
      <w:r>
        <w:rPr>
          <w:noProof/>
          <w:lang w:val="es-ES" w:eastAsia="es-ES"/>
        </w:rPr>
        <w:drawing>
          <wp:inline distT="0" distB="0" distL="0" distR="0" wp14:anchorId="07460B79" wp14:editId="2532C7D9">
            <wp:extent cx="146050" cy="146050"/>
            <wp:effectExtent l="0" t="0" r="0" b="0"/>
            <wp:docPr id="1740157807" name="image1.gif" descr="Facebook icon hyperlink"/>
            <wp:cNvGraphicFramePr/>
            <a:graphic xmlns:a="http://schemas.openxmlformats.org/drawingml/2006/main">
              <a:graphicData uri="http://schemas.openxmlformats.org/drawingml/2006/picture">
                <pic:pic xmlns:pic="http://schemas.openxmlformats.org/drawingml/2006/picture">
                  <pic:nvPicPr>
                    <pic:cNvPr id="0" name="image1.gif" descr="Facebook icon hyperlink"/>
                    <pic:cNvPicPr preferRelativeResize="0"/>
                  </pic:nvPicPr>
                  <pic:blipFill>
                    <a:blip r:embed="rId30"/>
                    <a:srcRect/>
                    <a:stretch>
                      <a:fillRect/>
                    </a:stretch>
                  </pic:blipFill>
                  <pic:spPr>
                    <a:xfrm>
                      <a:off x="0" y="0"/>
                      <a:ext cx="146050" cy="146050"/>
                    </a:xfrm>
                    <a:prstGeom prst="rect">
                      <a:avLst/>
                    </a:prstGeom>
                    <a:ln/>
                  </pic:spPr>
                </pic:pic>
              </a:graphicData>
            </a:graphic>
          </wp:inline>
        </w:drawing>
      </w:r>
      <w:r w:rsidRPr="001F0DFF">
        <w:rPr>
          <w:lang w:val="it-IT"/>
        </w:rPr>
        <w:t>  </w:t>
      </w:r>
      <w:r>
        <w:rPr>
          <w:noProof/>
          <w:lang w:val="es-ES" w:eastAsia="es-ES"/>
        </w:rPr>
        <w:drawing>
          <wp:inline distT="0" distB="0" distL="0" distR="0" wp14:anchorId="28298DB9" wp14:editId="5D2ECD65">
            <wp:extent cx="144780" cy="144780"/>
            <wp:effectExtent l="0" t="0" r="0" b="0"/>
            <wp:docPr id="386749290" name="image9.gif"/>
            <wp:cNvGraphicFramePr/>
            <a:graphic xmlns:a="http://schemas.openxmlformats.org/drawingml/2006/main">
              <a:graphicData uri="http://schemas.openxmlformats.org/drawingml/2006/picture">
                <pic:pic xmlns:pic="http://schemas.openxmlformats.org/drawingml/2006/picture">
                  <pic:nvPicPr>
                    <pic:cNvPr id="0" name="image9.gif"/>
                    <pic:cNvPicPr preferRelativeResize="0"/>
                  </pic:nvPicPr>
                  <pic:blipFill>
                    <a:blip r:embed="rId31"/>
                    <a:srcRect/>
                    <a:stretch>
                      <a:fillRect/>
                    </a:stretch>
                  </pic:blipFill>
                  <pic:spPr>
                    <a:xfrm>
                      <a:off x="0" y="0"/>
                      <a:ext cx="144780" cy="144780"/>
                    </a:xfrm>
                    <a:prstGeom prst="rect">
                      <a:avLst/>
                    </a:prstGeom>
                    <a:ln/>
                  </pic:spPr>
                </pic:pic>
              </a:graphicData>
            </a:graphic>
          </wp:inline>
        </w:drawing>
      </w:r>
      <w:r w:rsidRPr="001F0DFF">
        <w:rPr>
          <w:lang w:val="it-IT"/>
        </w:rPr>
        <w:t xml:space="preserve">  </w:t>
      </w:r>
      <w:r>
        <w:rPr>
          <w:noProof/>
          <w:lang w:val="es-ES" w:eastAsia="es-ES"/>
        </w:rPr>
        <w:drawing>
          <wp:inline distT="0" distB="0" distL="0" distR="0" wp14:anchorId="678A77B4" wp14:editId="461F1054">
            <wp:extent cx="146050" cy="146050"/>
            <wp:effectExtent l="0" t="0" r="0" b="0"/>
            <wp:docPr id="1167371255" name="image5.gif" descr="Youtube icon hyperlink"/>
            <wp:cNvGraphicFramePr/>
            <a:graphic xmlns:a="http://schemas.openxmlformats.org/drawingml/2006/main">
              <a:graphicData uri="http://schemas.openxmlformats.org/drawingml/2006/picture">
                <pic:pic xmlns:pic="http://schemas.openxmlformats.org/drawingml/2006/picture">
                  <pic:nvPicPr>
                    <pic:cNvPr id="0" name="image5.gif" descr="Youtube icon hyperlink"/>
                    <pic:cNvPicPr preferRelativeResize="0"/>
                  </pic:nvPicPr>
                  <pic:blipFill>
                    <a:blip r:embed="rId32"/>
                    <a:srcRect/>
                    <a:stretch>
                      <a:fillRect/>
                    </a:stretch>
                  </pic:blipFill>
                  <pic:spPr>
                    <a:xfrm>
                      <a:off x="0" y="0"/>
                      <a:ext cx="146050" cy="146050"/>
                    </a:xfrm>
                    <a:prstGeom prst="rect">
                      <a:avLst/>
                    </a:prstGeom>
                    <a:ln/>
                  </pic:spPr>
                </pic:pic>
              </a:graphicData>
            </a:graphic>
          </wp:inline>
        </w:drawing>
      </w:r>
      <w:r w:rsidRPr="001F0DFF">
        <w:rPr>
          <w:lang w:val="it-IT"/>
        </w:rPr>
        <w:t>  </w:t>
      </w:r>
      <w:r>
        <w:rPr>
          <w:noProof/>
          <w:lang w:val="es-ES" w:eastAsia="es-ES"/>
        </w:rPr>
        <w:drawing>
          <wp:inline distT="0" distB="0" distL="0" distR="0" wp14:anchorId="30C23B7C" wp14:editId="2670DD23">
            <wp:extent cx="146050" cy="146050"/>
            <wp:effectExtent l="0" t="0" r="0" b="0"/>
            <wp:docPr id="173420318" name="image4.gif" descr="Rss news icon hyperlink"/>
            <wp:cNvGraphicFramePr/>
            <a:graphic xmlns:a="http://schemas.openxmlformats.org/drawingml/2006/main">
              <a:graphicData uri="http://schemas.openxmlformats.org/drawingml/2006/picture">
                <pic:pic xmlns:pic="http://schemas.openxmlformats.org/drawingml/2006/picture">
                  <pic:nvPicPr>
                    <pic:cNvPr id="0" name="image4.gif" descr="Rss news icon hyperlink"/>
                    <pic:cNvPicPr preferRelativeResize="0"/>
                  </pic:nvPicPr>
                  <pic:blipFill>
                    <a:blip r:embed="rId33"/>
                    <a:srcRect/>
                    <a:stretch>
                      <a:fillRect/>
                    </a:stretch>
                  </pic:blipFill>
                  <pic:spPr>
                    <a:xfrm>
                      <a:off x="0" y="0"/>
                      <a:ext cx="146050" cy="146050"/>
                    </a:xfrm>
                    <a:prstGeom prst="rect">
                      <a:avLst/>
                    </a:prstGeom>
                    <a:ln/>
                  </pic:spPr>
                </pic:pic>
              </a:graphicData>
            </a:graphic>
          </wp:inline>
        </w:drawing>
      </w:r>
    </w:p>
    <w:p w14:paraId="097E68A4" w14:textId="77777777" w:rsidR="0045453F" w:rsidRDefault="0045453F" w:rsidP="00677BFE">
      <w:pPr>
        <w:spacing w:before="0" w:after="0" w:line="240" w:lineRule="auto"/>
        <w:rPr>
          <w:lang w:val="it-IT"/>
        </w:rPr>
      </w:pPr>
    </w:p>
    <w:p w14:paraId="3F8278B5" w14:textId="77777777" w:rsidR="00F57A12" w:rsidRDefault="00F57A12" w:rsidP="00F57A12">
      <w:pPr>
        <w:pBdr>
          <w:top w:val="nil"/>
          <w:left w:val="nil"/>
          <w:bottom w:val="nil"/>
          <w:right w:val="nil"/>
          <w:between w:val="nil"/>
        </w:pBdr>
        <w:spacing w:before="0" w:after="0" w:line="240" w:lineRule="auto"/>
        <w:rPr>
          <w:b/>
          <w:bCs/>
          <w:color w:val="000000"/>
          <w:sz w:val="22"/>
          <w:szCs w:val="22"/>
          <w:lang w:val="pt-PT"/>
        </w:rPr>
      </w:pPr>
      <w:r>
        <w:rPr>
          <w:b/>
          <w:bCs/>
          <w:color w:val="000000"/>
          <w:sz w:val="22"/>
          <w:szCs w:val="22"/>
          <w:lang w:val="pt-PT"/>
        </w:rPr>
        <w:t>Principado de Asturias/Cadasa</w:t>
      </w:r>
    </w:p>
    <w:p w14:paraId="5E3EC755" w14:textId="41967BE3" w:rsidR="00F57A12" w:rsidRPr="00F57A12" w:rsidRDefault="005C5D49" w:rsidP="00F57A12">
      <w:pPr>
        <w:pBdr>
          <w:top w:val="nil"/>
          <w:left w:val="nil"/>
          <w:bottom w:val="nil"/>
          <w:right w:val="nil"/>
          <w:between w:val="nil"/>
        </w:pBdr>
        <w:spacing w:before="0" w:after="0" w:line="240" w:lineRule="auto"/>
        <w:rPr>
          <w:b/>
          <w:bCs/>
          <w:color w:val="000000"/>
          <w:sz w:val="22"/>
          <w:szCs w:val="22"/>
          <w:lang w:val="pt-PT"/>
        </w:rPr>
      </w:pPr>
      <w:r>
        <w:rPr>
          <w:b/>
          <w:bCs/>
          <w:lang w:val="pt-PT"/>
        </w:rPr>
        <w:t>N</w:t>
      </w:r>
      <w:r w:rsidR="00F57A12" w:rsidRPr="00F57A12">
        <w:rPr>
          <w:b/>
          <w:bCs/>
          <w:lang w:val="pt-PT"/>
        </w:rPr>
        <w:t xml:space="preserve">atalia </w:t>
      </w:r>
      <w:r w:rsidR="00F57A12">
        <w:rPr>
          <w:b/>
          <w:bCs/>
          <w:lang w:val="pt-PT"/>
        </w:rPr>
        <w:t>Menendez</w:t>
      </w:r>
      <w:r w:rsidR="00F57A12" w:rsidRPr="00F57A12">
        <w:rPr>
          <w:b/>
          <w:bCs/>
          <w:lang w:val="pt-PT"/>
        </w:rPr>
        <w:t> </w:t>
      </w:r>
      <w:r w:rsidR="00F57A12" w:rsidRPr="00F57A12">
        <w:rPr>
          <w:lang w:val="pt-PT"/>
        </w:rPr>
        <w:t xml:space="preserve">| </w:t>
      </w:r>
      <w:r w:rsidR="00F57A12">
        <w:rPr>
          <w:color w:val="1F497D"/>
          <w:u w:val="single"/>
          <w:lang w:val="pt-PT"/>
        </w:rPr>
        <w:t>natalia.menendezmenenldez@asturias.com</w:t>
      </w:r>
      <w:r w:rsidR="00F57A12" w:rsidRPr="00F57A12">
        <w:rPr>
          <w:lang w:val="pt-PT"/>
        </w:rPr>
        <w:t xml:space="preserve"> | </w:t>
      </w:r>
    </w:p>
    <w:sectPr w:rsidR="00F57A12" w:rsidRPr="00F57A12" w:rsidSect="0060461A">
      <w:headerReference w:type="default" r:id="rId34"/>
      <w:footerReference w:type="even" r:id="rId35"/>
      <w:footerReference w:type="default" r:id="rId36"/>
      <w:footerReference w:type="first" r:id="rId37"/>
      <w:pgSz w:w="11906" w:h="16838"/>
      <w:pgMar w:top="567" w:right="1440" w:bottom="1134" w:left="1440" w:header="709" w:footer="70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ED27C" w14:textId="77777777" w:rsidR="000676EE" w:rsidRDefault="000676EE">
      <w:pPr>
        <w:spacing w:before="0" w:after="0" w:line="240" w:lineRule="auto"/>
      </w:pPr>
      <w:r>
        <w:separator/>
      </w:r>
    </w:p>
  </w:endnote>
  <w:endnote w:type="continuationSeparator" w:id="0">
    <w:p w14:paraId="2248254A" w14:textId="77777777" w:rsidR="000676EE" w:rsidRDefault="000676E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62460B1-E9C4-4726-8AE1-2A2C3FDDB500}"/>
  </w:font>
  <w:font w:name="Georgia">
    <w:panose1 w:val="02040502050405020303"/>
    <w:charset w:val="00"/>
    <w:family w:val="roman"/>
    <w:pitch w:val="variable"/>
    <w:sig w:usb0="00000287" w:usb1="00000000" w:usb2="00000000" w:usb3="00000000" w:csb0="0000009F" w:csb1="00000000"/>
    <w:embedItalic r:id="rId2" w:fontKey="{25F9FB93-60A1-46D9-9ADF-B63FFC2A07DD}"/>
  </w:font>
  <w:font w:name="Calibri">
    <w:panose1 w:val="020F0502020204030204"/>
    <w:charset w:val="00"/>
    <w:family w:val="swiss"/>
    <w:pitch w:val="variable"/>
    <w:sig w:usb0="E4002EFF" w:usb1="C200247B" w:usb2="00000009" w:usb3="00000000" w:csb0="000001FF" w:csb1="00000000"/>
    <w:embedRegular r:id="rId3" w:fontKey="{6088BA5C-649D-47E4-AAE7-584DF1F096EF}"/>
  </w:font>
  <w:font w:name="Segoe UI">
    <w:panose1 w:val="020B0502040204020203"/>
    <w:charset w:val="00"/>
    <w:family w:val="swiss"/>
    <w:pitch w:val="variable"/>
    <w:sig w:usb0="E4002EFF" w:usb1="C000E47F" w:usb2="00000009" w:usb3="00000000" w:csb0="000001FF" w:csb1="00000000"/>
    <w:embedRegular r:id="rId4" w:fontKey="{570AE24D-9439-4A1B-9D17-AD879E1787DE}"/>
  </w:font>
  <w:font w:name="Aptos">
    <w:charset w:val="00"/>
    <w:family w:val="swiss"/>
    <w:pitch w:val="variable"/>
    <w:sig w:usb0="20000287" w:usb1="00000003" w:usb2="00000000" w:usb3="00000000" w:csb0="0000019F" w:csb1="00000000"/>
    <w:embedRegular r:id="rId5" w:fontKey="{356C8129-C943-4FF0-9430-AFF19995B7F8}"/>
  </w:font>
  <w:font w:name="Cambria Math">
    <w:panose1 w:val="02040503050406030204"/>
    <w:charset w:val="00"/>
    <w:family w:val="roman"/>
    <w:pitch w:val="variable"/>
    <w:sig w:usb0="E00006FF" w:usb1="420024FF" w:usb2="02000000" w:usb3="00000000" w:csb0="0000019F" w:csb1="00000000"/>
    <w:embedRegular r:id="rId6" w:fontKey="{3EB0CED5-C0EF-4099-8D27-B9B848942694}"/>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0F11" w14:textId="77777777" w:rsidR="006C3D06" w:rsidRDefault="006F570D">
    <w:pPr>
      <w:pBdr>
        <w:top w:val="nil"/>
        <w:left w:val="nil"/>
        <w:bottom w:val="nil"/>
        <w:right w:val="nil"/>
        <w:between w:val="nil"/>
      </w:pBdr>
      <w:tabs>
        <w:tab w:val="center" w:pos="4513"/>
        <w:tab w:val="right" w:pos="9026"/>
      </w:tabs>
      <w:spacing w:before="0" w:after="0" w:line="240" w:lineRule="auto"/>
      <w:rPr>
        <w:color w:val="000000"/>
      </w:rPr>
    </w:pPr>
    <w:r>
      <w:rPr>
        <w:noProof/>
        <w:lang w:val="es-ES" w:eastAsia="es-ES"/>
      </w:rPr>
      <mc:AlternateContent>
        <mc:Choice Requires="wps">
          <w:drawing>
            <wp:anchor distT="0" distB="0" distL="0" distR="0" simplePos="0" relativeHeight="251658242" behindDoc="0" locked="0" layoutInCell="1" hidden="0" allowOverlap="1" wp14:anchorId="459FF0DA" wp14:editId="23E7A228">
              <wp:simplePos x="0" y="0"/>
              <wp:positionH relativeFrom="column">
                <wp:posOffset>-919161</wp:posOffset>
              </wp:positionH>
              <wp:positionV relativeFrom="paragraph">
                <wp:posOffset>-4761</wp:posOffset>
              </wp:positionV>
              <wp:extent cx="995680" cy="477520"/>
              <wp:effectExtent l="0" t="0" r="0" b="0"/>
              <wp:wrapNone/>
              <wp:docPr id="3" name="Rectangle 3" descr="Intern gebruik"/>
              <wp:cNvGraphicFramePr/>
              <a:graphic xmlns:a="http://schemas.openxmlformats.org/drawingml/2006/main">
                <a:graphicData uri="http://schemas.microsoft.com/office/word/2010/wordprocessingShape">
                  <wps:wsp>
                    <wps:cNvSpPr/>
                    <wps:spPr>
                      <a:xfrm>
                        <a:off x="4852923" y="3546003"/>
                        <a:ext cx="986155" cy="467995"/>
                      </a:xfrm>
                      <a:prstGeom prst="rect">
                        <a:avLst/>
                      </a:prstGeom>
                      <a:noFill/>
                      <a:ln>
                        <a:noFill/>
                      </a:ln>
                    </wps:spPr>
                    <wps:txbx>
                      <w:txbxContent>
                        <w:p w14:paraId="4D27FF6A" w14:textId="77777777" w:rsidR="006C3D06" w:rsidRDefault="006F570D">
                          <w:pPr>
                            <w:spacing w:after="0" w:line="311" w:lineRule="auto"/>
                            <w:textDirection w:val="btLr"/>
                          </w:pPr>
                          <w:r>
                            <w:rPr>
                              <w:rFonts w:ascii="Calibri" w:eastAsia="Calibri" w:hAnsi="Calibri" w:cs="Calibri"/>
                              <w:color w:val="000000"/>
                            </w:rPr>
                            <w:t>Intern gebruik</w:t>
                          </w:r>
                        </w:p>
                      </w:txbxContent>
                    </wps:txbx>
                    <wps:bodyPr spcFirstLastPara="1" wrap="square" lIns="254000" tIns="0" rIns="0" bIns="190500" anchor="b" anchorCtr="0">
                      <a:noAutofit/>
                    </wps:bodyPr>
                  </wps:wsp>
                </a:graphicData>
              </a:graphic>
            </wp:anchor>
          </w:drawing>
        </mc:Choice>
        <mc:Fallback>
          <w:pict>
            <v:rect w14:anchorId="459FF0DA" id="Rectangle 3" o:spid="_x0000_s1027" alt="Intern gebruik" style="position:absolute;margin-left:-72.35pt;margin-top:-.35pt;width:78.4pt;height:37.6pt;z-index:25165824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" filled="f" stroked="f">
              <v:textbox inset="20pt,0,0,15pt">
                <w:txbxContent>
                  <w:p w14:paraId="4D27FF6A" w14:textId="77777777" w:rsidR="006C3D06" w:rsidRDefault="006F570D">
                    <w:pPr>
                      <w:spacing w:after="0" w:line="311" w:lineRule="auto"/>
                      <w:textDirection w:val="btLr"/>
                    </w:pPr>
                    <w:r>
                      <w:rPr>
                        <w:rFonts w:ascii="Calibri" w:eastAsia="Calibri" w:hAnsi="Calibri" w:cs="Calibri"/>
                        <w:color w:val="000000"/>
                      </w:rPr>
                      <w:t>Intern gebruik</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AA03" w14:textId="77777777" w:rsidR="006C3D06" w:rsidRPr="001061DB" w:rsidRDefault="006F570D">
    <w:pPr>
      <w:pBdr>
        <w:top w:val="nil"/>
        <w:left w:val="nil"/>
        <w:bottom w:val="nil"/>
        <w:right w:val="nil"/>
        <w:between w:val="nil"/>
      </w:pBdr>
      <w:tabs>
        <w:tab w:val="center" w:pos="4513"/>
        <w:tab w:val="right" w:pos="9026"/>
      </w:tabs>
      <w:spacing w:before="0" w:after="0" w:line="240" w:lineRule="auto"/>
      <w:rPr>
        <w:color w:val="000000"/>
        <w:lang w:val="de-DE"/>
      </w:rPr>
    </w:pPr>
    <w:bookmarkStart w:id="1" w:name="_heading=h.1fr2wf1igzsr" w:colFirst="0" w:colLast="0"/>
    <w:bookmarkEnd w:id="1"/>
    <w:r w:rsidRPr="001061DB">
      <w:rPr>
        <w:color w:val="A6A6A6"/>
        <w:sz w:val="16"/>
        <w:szCs w:val="16"/>
        <w:lang w:val="de-DE"/>
      </w:rPr>
      <w:t>98-100, Boulevard Konrad Adenauer L-2950 Luxembourg – www.eib.org/press – press@eib.org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D782" w14:textId="77777777" w:rsidR="006C3D06" w:rsidRDefault="006F570D">
    <w:pPr>
      <w:pBdr>
        <w:top w:val="nil"/>
        <w:left w:val="nil"/>
        <w:bottom w:val="nil"/>
        <w:right w:val="nil"/>
        <w:between w:val="nil"/>
      </w:pBdr>
      <w:tabs>
        <w:tab w:val="center" w:pos="4513"/>
        <w:tab w:val="right" w:pos="9026"/>
      </w:tabs>
      <w:spacing w:before="0" w:after="0" w:line="240" w:lineRule="auto"/>
      <w:rPr>
        <w:color w:val="000000"/>
      </w:rPr>
    </w:pPr>
    <w:r>
      <w:rPr>
        <w:noProof/>
        <w:lang w:val="es-ES" w:eastAsia="es-ES"/>
      </w:rPr>
      <mc:AlternateContent>
        <mc:Choice Requires="wps">
          <w:drawing>
            <wp:anchor distT="0" distB="0" distL="0" distR="0" simplePos="0" relativeHeight="251658241" behindDoc="0" locked="0" layoutInCell="1" hidden="0" allowOverlap="1" wp14:anchorId="08448C89" wp14:editId="48D0197E">
              <wp:simplePos x="0" y="0"/>
              <wp:positionH relativeFrom="column">
                <wp:posOffset>-919161</wp:posOffset>
              </wp:positionH>
              <wp:positionV relativeFrom="paragraph">
                <wp:posOffset>-4761</wp:posOffset>
              </wp:positionV>
              <wp:extent cx="995680" cy="477520"/>
              <wp:effectExtent l="0" t="0" r="0" b="0"/>
              <wp:wrapNone/>
              <wp:docPr id="1" name="Rectangle 1" descr="Intern gebruik"/>
              <wp:cNvGraphicFramePr/>
              <a:graphic xmlns:a="http://schemas.openxmlformats.org/drawingml/2006/main">
                <a:graphicData uri="http://schemas.microsoft.com/office/word/2010/wordprocessingShape">
                  <wps:wsp>
                    <wps:cNvSpPr/>
                    <wps:spPr>
                      <a:xfrm>
                        <a:off x="4852923" y="3546003"/>
                        <a:ext cx="986155" cy="467995"/>
                      </a:xfrm>
                      <a:prstGeom prst="rect">
                        <a:avLst/>
                      </a:prstGeom>
                      <a:noFill/>
                      <a:ln>
                        <a:noFill/>
                      </a:ln>
                    </wps:spPr>
                    <wps:txbx>
                      <w:txbxContent>
                        <w:p w14:paraId="54454DFD" w14:textId="77777777" w:rsidR="006C3D06" w:rsidRDefault="006F570D">
                          <w:pPr>
                            <w:spacing w:after="0" w:line="311" w:lineRule="auto"/>
                            <w:textDirection w:val="btLr"/>
                          </w:pPr>
                          <w:r>
                            <w:rPr>
                              <w:rFonts w:ascii="Calibri" w:eastAsia="Calibri" w:hAnsi="Calibri" w:cs="Calibri"/>
                              <w:color w:val="000000"/>
                            </w:rPr>
                            <w:t>Intern gebruik</w:t>
                          </w:r>
                        </w:p>
                      </w:txbxContent>
                    </wps:txbx>
                    <wps:bodyPr spcFirstLastPara="1" wrap="square" lIns="254000" tIns="0" rIns="0" bIns="190500" anchor="b" anchorCtr="0">
                      <a:noAutofit/>
                    </wps:bodyPr>
                  </wps:wsp>
                </a:graphicData>
              </a:graphic>
            </wp:anchor>
          </w:drawing>
        </mc:Choice>
        <mc:Fallback>
          <w:pict>
            <v:rect w14:anchorId="08448C89" id="Rectangle 1" o:spid="_x0000_s1028" alt="Intern gebruik" style="position:absolute;margin-left:-72.35pt;margin-top:-.35pt;width:78.4pt;height:37.6pt;z-index:251658241;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" filled="f" stroked="f">
              <v:textbox inset="20pt,0,0,15pt">
                <w:txbxContent>
                  <w:p w14:paraId="54454DFD" w14:textId="77777777" w:rsidR="006C3D06" w:rsidRDefault="006F570D">
                    <w:pPr>
                      <w:spacing w:after="0" w:line="311" w:lineRule="auto"/>
                      <w:textDirection w:val="btLr"/>
                    </w:pPr>
                    <w:r>
                      <w:rPr>
                        <w:rFonts w:ascii="Calibri" w:eastAsia="Calibri" w:hAnsi="Calibri" w:cs="Calibri"/>
                        <w:color w:val="000000"/>
                      </w:rPr>
                      <w:t>Intern gebruik</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5BB8A" w14:textId="77777777" w:rsidR="000676EE" w:rsidRDefault="000676EE">
      <w:pPr>
        <w:spacing w:before="0" w:after="0" w:line="240" w:lineRule="auto"/>
      </w:pPr>
      <w:r>
        <w:separator/>
      </w:r>
    </w:p>
  </w:footnote>
  <w:footnote w:type="continuationSeparator" w:id="0">
    <w:p w14:paraId="71BF82B6" w14:textId="77777777" w:rsidR="000676EE" w:rsidRDefault="000676E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AE51" w14:textId="77777777" w:rsidR="006C3D06" w:rsidRDefault="006F570D">
    <w:pPr>
      <w:pBdr>
        <w:top w:val="nil"/>
        <w:left w:val="nil"/>
        <w:bottom w:val="nil"/>
        <w:right w:val="nil"/>
        <w:between w:val="nil"/>
      </w:pBdr>
      <w:tabs>
        <w:tab w:val="center" w:pos="4513"/>
        <w:tab w:val="right" w:pos="9026"/>
      </w:tabs>
      <w:spacing w:before="0" w:after="0" w:line="240" w:lineRule="auto"/>
      <w:rPr>
        <w:color w:val="000000"/>
      </w:rPr>
    </w:pPr>
    <w:r>
      <w:rPr>
        <w:noProof/>
        <w:color w:val="000000"/>
        <w:lang w:val="es-ES" w:eastAsia="es-ES"/>
      </w:rPr>
      <mc:AlternateContent>
        <mc:Choice Requires="wps">
          <w:drawing>
            <wp:anchor distT="0" distB="0" distL="114300" distR="114300" simplePos="0" relativeHeight="251658240" behindDoc="0" locked="0" layoutInCell="1" hidden="0" allowOverlap="1" wp14:anchorId="16F81F5E" wp14:editId="47D80761">
              <wp:simplePos x="0" y="0"/>
              <wp:positionH relativeFrom="page">
                <wp:posOffset>-4761</wp:posOffset>
              </wp:positionH>
              <wp:positionV relativeFrom="page">
                <wp:posOffset>185738</wp:posOffset>
              </wp:positionV>
              <wp:extent cx="7569835" cy="282575"/>
              <wp:effectExtent l="0" t="0" r="0" b="0"/>
              <wp:wrapNone/>
              <wp:docPr id="2" name="Rectangle 2" descr="{&quot;HashCode&quot;:194037181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26ED9AD" w14:textId="77777777" w:rsidR="006C3D06" w:rsidRDefault="006F570D">
                          <w:pPr>
                            <w:spacing w:before="0" w:after="0" w:line="311" w:lineRule="auto"/>
                            <w:jc w:val="center"/>
                            <w:textDirection w:val="btLr"/>
                          </w:pPr>
                          <w:r>
                            <w:rPr>
                              <w:rFonts w:ascii="Calibri" w:eastAsia="Calibri" w:hAnsi="Calibri" w:cs="Calibri"/>
                              <w:color w:val="808080"/>
                            </w:rPr>
                            <w:t>Public</w:t>
                          </w:r>
                        </w:p>
                      </w:txbxContent>
                    </wps:txbx>
                    <wps:bodyPr spcFirstLastPara="1" wrap="square" lIns="91425" tIns="0" rIns="91425" bIns="0" anchor="t" anchorCtr="0">
                      <a:noAutofit/>
                    </wps:bodyPr>
                  </wps:wsp>
                </a:graphicData>
              </a:graphic>
            </wp:anchor>
          </w:drawing>
        </mc:Choice>
        <mc:Fallback>
          <w:pict>
            <v:rect w14:anchorId="16F81F5E" id="Rectangle 2" o:spid="_x0000_s1026" alt="{&quot;HashCode&quot;:1940371815,&quot;Height&quot;:841.0,&quot;Width&quot;:595.0,&quot;Placement&quot;:&quot;Header&quot;,&quot;Index&quot;:&quot;Primary&quot;,&quot;Section&quot;:1,&quot;Top&quot;:0.0,&quot;Left&quot;:0.0}" style="position:absolute;margin-left:-.35pt;margin-top:14.65pt;width:596.05pt;height:22.2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" filled="f" stroked="f">
              <v:textbox inset="2.53958mm,0,2.53958mm,0">
                <w:txbxContent>
                  <w:p w14:paraId="726ED9AD" w14:textId="77777777" w:rsidR="006C3D06" w:rsidRDefault="006F570D">
                    <w:pPr>
                      <w:spacing w:before="0" w:after="0" w:line="311" w:lineRule="auto"/>
                      <w:jc w:val="center"/>
                      <w:textDirection w:val="btLr"/>
                    </w:pPr>
                    <w:r>
                      <w:rPr>
                        <w:rFonts w:ascii="Calibri" w:eastAsia="Calibri" w:hAnsi="Calibri" w:cs="Calibri"/>
                        <w:color w:val="808080"/>
                      </w:rPr>
                      <w:t>Public</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C6220"/>
    <w:multiLevelType w:val="multilevel"/>
    <w:tmpl w:val="952C3BFA"/>
    <w:lvl w:ilvl="0">
      <w:start w:val="1"/>
      <w:numFmt w:val="bullet"/>
      <w:pStyle w:val="EIBbullets"/>
      <w:lvlText w:val=""/>
      <w:lvlJc w:val="left"/>
      <w:pPr>
        <w:tabs>
          <w:tab w:val="num" w:pos="426"/>
        </w:tabs>
        <w:ind w:left="426" w:hanging="360"/>
      </w:pPr>
      <w:rPr>
        <w:rFonts w:ascii="Symbol" w:hAnsi="Symbol" w:hint="default"/>
        <w:color w:val="212121"/>
        <w:sz w:val="20"/>
      </w:rPr>
    </w:lvl>
    <w:lvl w:ilvl="1">
      <w:start w:val="1"/>
      <w:numFmt w:val="bullet"/>
      <w:lvlText w:val=""/>
      <w:lvlJc w:val="left"/>
      <w:pPr>
        <w:tabs>
          <w:tab w:val="num" w:pos="1146"/>
        </w:tabs>
        <w:ind w:left="1146" w:hanging="360"/>
      </w:pPr>
      <w:rPr>
        <w:rFonts w:ascii="Symbol" w:hAnsi="Symbol" w:hint="default"/>
        <w:sz w:val="20"/>
      </w:rPr>
    </w:lvl>
    <w:lvl w:ilvl="2">
      <w:start w:val="1"/>
      <w:numFmt w:val="bullet"/>
      <w:lvlText w:val=""/>
      <w:lvlJc w:val="left"/>
      <w:pPr>
        <w:tabs>
          <w:tab w:val="num" w:pos="1866"/>
        </w:tabs>
        <w:ind w:left="1866" w:hanging="360"/>
      </w:pPr>
      <w:rPr>
        <w:rFonts w:ascii="Symbol" w:hAnsi="Symbol" w:hint="default"/>
        <w:sz w:val="20"/>
      </w:rPr>
    </w:lvl>
    <w:lvl w:ilvl="3">
      <w:start w:val="1"/>
      <w:numFmt w:val="bullet"/>
      <w:lvlText w:val=""/>
      <w:lvlJc w:val="left"/>
      <w:pPr>
        <w:tabs>
          <w:tab w:val="num" w:pos="2586"/>
        </w:tabs>
        <w:ind w:left="2586" w:hanging="360"/>
      </w:pPr>
      <w:rPr>
        <w:rFonts w:ascii="Symbol" w:hAnsi="Symbol" w:hint="default"/>
        <w:sz w:val="20"/>
      </w:rPr>
    </w:lvl>
    <w:lvl w:ilvl="4">
      <w:start w:val="1"/>
      <w:numFmt w:val="bullet"/>
      <w:lvlText w:val=""/>
      <w:lvlJc w:val="left"/>
      <w:pPr>
        <w:tabs>
          <w:tab w:val="num" w:pos="3306"/>
        </w:tabs>
        <w:ind w:left="3306" w:hanging="360"/>
      </w:pPr>
      <w:rPr>
        <w:rFonts w:ascii="Symbol" w:hAnsi="Symbol" w:hint="default"/>
        <w:sz w:val="20"/>
      </w:rPr>
    </w:lvl>
    <w:lvl w:ilvl="5">
      <w:start w:val="1"/>
      <w:numFmt w:val="bullet"/>
      <w:lvlText w:val=""/>
      <w:lvlJc w:val="left"/>
      <w:pPr>
        <w:tabs>
          <w:tab w:val="num" w:pos="4026"/>
        </w:tabs>
        <w:ind w:left="4026" w:hanging="360"/>
      </w:pPr>
      <w:rPr>
        <w:rFonts w:ascii="Symbol" w:hAnsi="Symbol" w:hint="default"/>
        <w:sz w:val="20"/>
      </w:rPr>
    </w:lvl>
    <w:lvl w:ilvl="6">
      <w:start w:val="1"/>
      <w:numFmt w:val="bullet"/>
      <w:lvlText w:val=""/>
      <w:lvlJc w:val="left"/>
      <w:pPr>
        <w:tabs>
          <w:tab w:val="num" w:pos="4746"/>
        </w:tabs>
        <w:ind w:left="4746" w:hanging="360"/>
      </w:pPr>
      <w:rPr>
        <w:rFonts w:ascii="Symbol" w:hAnsi="Symbol" w:hint="default"/>
        <w:sz w:val="20"/>
      </w:rPr>
    </w:lvl>
    <w:lvl w:ilvl="7">
      <w:start w:val="1"/>
      <w:numFmt w:val="bullet"/>
      <w:lvlText w:val=""/>
      <w:lvlJc w:val="left"/>
      <w:pPr>
        <w:tabs>
          <w:tab w:val="num" w:pos="5466"/>
        </w:tabs>
        <w:ind w:left="5466" w:hanging="360"/>
      </w:pPr>
      <w:rPr>
        <w:rFonts w:ascii="Symbol" w:hAnsi="Symbol" w:hint="default"/>
        <w:sz w:val="20"/>
      </w:rPr>
    </w:lvl>
    <w:lvl w:ilvl="8">
      <w:start w:val="1"/>
      <w:numFmt w:val="bullet"/>
      <w:lvlText w:val=""/>
      <w:lvlJc w:val="left"/>
      <w:pPr>
        <w:tabs>
          <w:tab w:val="num" w:pos="6186"/>
        </w:tabs>
        <w:ind w:left="6186" w:hanging="360"/>
      </w:pPr>
      <w:rPr>
        <w:rFonts w:ascii="Symbol" w:hAnsi="Symbol" w:hint="default"/>
        <w:sz w:val="20"/>
      </w:rPr>
    </w:lvl>
  </w:abstractNum>
  <w:abstractNum w:abstractNumId="1" w15:restartNumberingAfterBreak="0">
    <w:nsid w:val="5DEC6DE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92395471">
    <w:abstractNumId w:val="1"/>
  </w:num>
  <w:num w:numId="2" w16cid:durableId="759522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D06"/>
    <w:rsid w:val="000003EA"/>
    <w:rsid w:val="000037E3"/>
    <w:rsid w:val="00004B26"/>
    <w:rsid w:val="00013A7D"/>
    <w:rsid w:val="000148AF"/>
    <w:rsid w:val="00014F4F"/>
    <w:rsid w:val="000241B8"/>
    <w:rsid w:val="00024599"/>
    <w:rsid w:val="000250D4"/>
    <w:rsid w:val="00030649"/>
    <w:rsid w:val="00032FBC"/>
    <w:rsid w:val="0003702B"/>
    <w:rsid w:val="00044417"/>
    <w:rsid w:val="00050735"/>
    <w:rsid w:val="00050ED4"/>
    <w:rsid w:val="000576E2"/>
    <w:rsid w:val="000676EE"/>
    <w:rsid w:val="0007224C"/>
    <w:rsid w:val="00074F17"/>
    <w:rsid w:val="00076848"/>
    <w:rsid w:val="00080245"/>
    <w:rsid w:val="00080FC6"/>
    <w:rsid w:val="00095E25"/>
    <w:rsid w:val="000A0D5B"/>
    <w:rsid w:val="000A1F8F"/>
    <w:rsid w:val="000A449C"/>
    <w:rsid w:val="000A60CF"/>
    <w:rsid w:val="000B0892"/>
    <w:rsid w:val="000B6166"/>
    <w:rsid w:val="000B61DA"/>
    <w:rsid w:val="000C2F37"/>
    <w:rsid w:val="000C4984"/>
    <w:rsid w:val="000C630B"/>
    <w:rsid w:val="000D187A"/>
    <w:rsid w:val="000E6A72"/>
    <w:rsid w:val="000F3602"/>
    <w:rsid w:val="000F4D67"/>
    <w:rsid w:val="0010099C"/>
    <w:rsid w:val="00104B4B"/>
    <w:rsid w:val="001061DB"/>
    <w:rsid w:val="00115ACF"/>
    <w:rsid w:val="001223C1"/>
    <w:rsid w:val="0012695D"/>
    <w:rsid w:val="0013152F"/>
    <w:rsid w:val="00133613"/>
    <w:rsid w:val="001341BF"/>
    <w:rsid w:val="0013435F"/>
    <w:rsid w:val="00136D3E"/>
    <w:rsid w:val="00141161"/>
    <w:rsid w:val="00153C56"/>
    <w:rsid w:val="00154F84"/>
    <w:rsid w:val="00161EAA"/>
    <w:rsid w:val="001704FD"/>
    <w:rsid w:val="00170D70"/>
    <w:rsid w:val="001721AE"/>
    <w:rsid w:val="00177A5E"/>
    <w:rsid w:val="00182980"/>
    <w:rsid w:val="00185781"/>
    <w:rsid w:val="00191184"/>
    <w:rsid w:val="001A00FD"/>
    <w:rsid w:val="001A1282"/>
    <w:rsid w:val="001A177F"/>
    <w:rsid w:val="001A4FCD"/>
    <w:rsid w:val="001B2AD7"/>
    <w:rsid w:val="001B44AD"/>
    <w:rsid w:val="001C0993"/>
    <w:rsid w:val="001C2754"/>
    <w:rsid w:val="001C5557"/>
    <w:rsid w:val="001C685E"/>
    <w:rsid w:val="001C6AB0"/>
    <w:rsid w:val="001C7C36"/>
    <w:rsid w:val="001E3502"/>
    <w:rsid w:val="001E4E79"/>
    <w:rsid w:val="001F0DFF"/>
    <w:rsid w:val="001F5981"/>
    <w:rsid w:val="001F6543"/>
    <w:rsid w:val="001F7BF9"/>
    <w:rsid w:val="00202DFA"/>
    <w:rsid w:val="0020388F"/>
    <w:rsid w:val="00206E42"/>
    <w:rsid w:val="00207968"/>
    <w:rsid w:val="0022342E"/>
    <w:rsid w:val="00233E50"/>
    <w:rsid w:val="00240A32"/>
    <w:rsid w:val="00244A62"/>
    <w:rsid w:val="00252846"/>
    <w:rsid w:val="0025664C"/>
    <w:rsid w:val="00262F24"/>
    <w:rsid w:val="00282006"/>
    <w:rsid w:val="0028264A"/>
    <w:rsid w:val="00284981"/>
    <w:rsid w:val="00286CD7"/>
    <w:rsid w:val="00291438"/>
    <w:rsid w:val="00292A8C"/>
    <w:rsid w:val="002A02A7"/>
    <w:rsid w:val="002A1DE4"/>
    <w:rsid w:val="002A72B9"/>
    <w:rsid w:val="002A7B43"/>
    <w:rsid w:val="002C40C2"/>
    <w:rsid w:val="002C7C01"/>
    <w:rsid w:val="002D2188"/>
    <w:rsid w:val="002D3E44"/>
    <w:rsid w:val="002E0E8B"/>
    <w:rsid w:val="002E1620"/>
    <w:rsid w:val="002E64F5"/>
    <w:rsid w:val="002E6DB3"/>
    <w:rsid w:val="002F6057"/>
    <w:rsid w:val="002F75CB"/>
    <w:rsid w:val="002F7A4B"/>
    <w:rsid w:val="00312402"/>
    <w:rsid w:val="003140CD"/>
    <w:rsid w:val="00320BE1"/>
    <w:rsid w:val="003252C5"/>
    <w:rsid w:val="003307BF"/>
    <w:rsid w:val="00333940"/>
    <w:rsid w:val="003466B7"/>
    <w:rsid w:val="00351B0E"/>
    <w:rsid w:val="00352291"/>
    <w:rsid w:val="00364517"/>
    <w:rsid w:val="00365FAD"/>
    <w:rsid w:val="00366FA7"/>
    <w:rsid w:val="003733C9"/>
    <w:rsid w:val="003760CD"/>
    <w:rsid w:val="00380D22"/>
    <w:rsid w:val="00381FD7"/>
    <w:rsid w:val="003901A3"/>
    <w:rsid w:val="003926DC"/>
    <w:rsid w:val="003949B7"/>
    <w:rsid w:val="003A4D77"/>
    <w:rsid w:val="003A7887"/>
    <w:rsid w:val="003B2073"/>
    <w:rsid w:val="003B2DC6"/>
    <w:rsid w:val="003C0934"/>
    <w:rsid w:val="003D5894"/>
    <w:rsid w:val="003D7C6F"/>
    <w:rsid w:val="003E41AF"/>
    <w:rsid w:val="003F1013"/>
    <w:rsid w:val="003F249C"/>
    <w:rsid w:val="003F2F27"/>
    <w:rsid w:val="003F55D5"/>
    <w:rsid w:val="003F72E6"/>
    <w:rsid w:val="0040252C"/>
    <w:rsid w:val="00405CA0"/>
    <w:rsid w:val="0040639F"/>
    <w:rsid w:val="004068DB"/>
    <w:rsid w:val="00414608"/>
    <w:rsid w:val="00414920"/>
    <w:rsid w:val="00415590"/>
    <w:rsid w:val="0042123E"/>
    <w:rsid w:val="0042632C"/>
    <w:rsid w:val="00426756"/>
    <w:rsid w:val="00432540"/>
    <w:rsid w:val="00433193"/>
    <w:rsid w:val="00433422"/>
    <w:rsid w:val="00433F07"/>
    <w:rsid w:val="00437188"/>
    <w:rsid w:val="0043724F"/>
    <w:rsid w:val="004433E5"/>
    <w:rsid w:val="00443D05"/>
    <w:rsid w:val="00445D8A"/>
    <w:rsid w:val="0045453F"/>
    <w:rsid w:val="00454776"/>
    <w:rsid w:val="00455666"/>
    <w:rsid w:val="00457798"/>
    <w:rsid w:val="00463FEC"/>
    <w:rsid w:val="00475E0C"/>
    <w:rsid w:val="00477B6F"/>
    <w:rsid w:val="0048225D"/>
    <w:rsid w:val="004916AF"/>
    <w:rsid w:val="0049667D"/>
    <w:rsid w:val="00496755"/>
    <w:rsid w:val="004A1622"/>
    <w:rsid w:val="004A51F4"/>
    <w:rsid w:val="004B3877"/>
    <w:rsid w:val="004B4820"/>
    <w:rsid w:val="004B67A7"/>
    <w:rsid w:val="004C0B09"/>
    <w:rsid w:val="004C2AA2"/>
    <w:rsid w:val="004C3BD9"/>
    <w:rsid w:val="004C4EC5"/>
    <w:rsid w:val="004D556F"/>
    <w:rsid w:val="004E06FF"/>
    <w:rsid w:val="004E0A37"/>
    <w:rsid w:val="004E37CC"/>
    <w:rsid w:val="004F7FCF"/>
    <w:rsid w:val="00500095"/>
    <w:rsid w:val="00500501"/>
    <w:rsid w:val="00506C30"/>
    <w:rsid w:val="00510CC5"/>
    <w:rsid w:val="00523B28"/>
    <w:rsid w:val="00524A54"/>
    <w:rsid w:val="005327C5"/>
    <w:rsid w:val="00533833"/>
    <w:rsid w:val="00533A5E"/>
    <w:rsid w:val="00535F4E"/>
    <w:rsid w:val="00537E2D"/>
    <w:rsid w:val="00542CF1"/>
    <w:rsid w:val="00544871"/>
    <w:rsid w:val="005463E9"/>
    <w:rsid w:val="00556E7A"/>
    <w:rsid w:val="0056313E"/>
    <w:rsid w:val="005707FF"/>
    <w:rsid w:val="00571BBD"/>
    <w:rsid w:val="00576DB5"/>
    <w:rsid w:val="005802A2"/>
    <w:rsid w:val="005860D6"/>
    <w:rsid w:val="00592175"/>
    <w:rsid w:val="0059428B"/>
    <w:rsid w:val="005959C3"/>
    <w:rsid w:val="005A0C67"/>
    <w:rsid w:val="005B2E15"/>
    <w:rsid w:val="005B4CFB"/>
    <w:rsid w:val="005B708B"/>
    <w:rsid w:val="005C05B7"/>
    <w:rsid w:val="005C10C8"/>
    <w:rsid w:val="005C2EDC"/>
    <w:rsid w:val="005C4462"/>
    <w:rsid w:val="005C468D"/>
    <w:rsid w:val="005C5D49"/>
    <w:rsid w:val="005C6542"/>
    <w:rsid w:val="005D2AEB"/>
    <w:rsid w:val="005E5479"/>
    <w:rsid w:val="005E6543"/>
    <w:rsid w:val="006022C1"/>
    <w:rsid w:val="0060461A"/>
    <w:rsid w:val="00607D6A"/>
    <w:rsid w:val="0061076B"/>
    <w:rsid w:val="00610B23"/>
    <w:rsid w:val="00610EB4"/>
    <w:rsid w:val="006121BA"/>
    <w:rsid w:val="00623DA1"/>
    <w:rsid w:val="00624F8E"/>
    <w:rsid w:val="006253AD"/>
    <w:rsid w:val="0062667A"/>
    <w:rsid w:val="00632919"/>
    <w:rsid w:val="00633119"/>
    <w:rsid w:val="00644F60"/>
    <w:rsid w:val="00647D36"/>
    <w:rsid w:val="0065228B"/>
    <w:rsid w:val="0065377C"/>
    <w:rsid w:val="00656446"/>
    <w:rsid w:val="006579BD"/>
    <w:rsid w:val="00657D00"/>
    <w:rsid w:val="00667997"/>
    <w:rsid w:val="006721B1"/>
    <w:rsid w:val="0067383A"/>
    <w:rsid w:val="006776B1"/>
    <w:rsid w:val="00677BFE"/>
    <w:rsid w:val="00681B8D"/>
    <w:rsid w:val="00690440"/>
    <w:rsid w:val="006928F0"/>
    <w:rsid w:val="0069783D"/>
    <w:rsid w:val="006B072C"/>
    <w:rsid w:val="006B096E"/>
    <w:rsid w:val="006B09E5"/>
    <w:rsid w:val="006B0E37"/>
    <w:rsid w:val="006C0FBE"/>
    <w:rsid w:val="006C1D9E"/>
    <w:rsid w:val="006C3D06"/>
    <w:rsid w:val="006D302B"/>
    <w:rsid w:val="006E0CD8"/>
    <w:rsid w:val="006E4766"/>
    <w:rsid w:val="006E7769"/>
    <w:rsid w:val="006F570D"/>
    <w:rsid w:val="006F7718"/>
    <w:rsid w:val="00710354"/>
    <w:rsid w:val="007149CE"/>
    <w:rsid w:val="00715566"/>
    <w:rsid w:val="00720F3F"/>
    <w:rsid w:val="007232AF"/>
    <w:rsid w:val="00737345"/>
    <w:rsid w:val="007669E2"/>
    <w:rsid w:val="00781813"/>
    <w:rsid w:val="0078238D"/>
    <w:rsid w:val="00785DE3"/>
    <w:rsid w:val="00790A20"/>
    <w:rsid w:val="007951E0"/>
    <w:rsid w:val="00797472"/>
    <w:rsid w:val="007A2BCB"/>
    <w:rsid w:val="007C1AF0"/>
    <w:rsid w:val="007E1A24"/>
    <w:rsid w:val="007E5F4E"/>
    <w:rsid w:val="007F2D5C"/>
    <w:rsid w:val="007F3A6F"/>
    <w:rsid w:val="007F60D7"/>
    <w:rsid w:val="00814538"/>
    <w:rsid w:val="00815677"/>
    <w:rsid w:val="0081738C"/>
    <w:rsid w:val="008211A9"/>
    <w:rsid w:val="00822DE7"/>
    <w:rsid w:val="00823468"/>
    <w:rsid w:val="00823A6D"/>
    <w:rsid w:val="008257F6"/>
    <w:rsid w:val="0083157D"/>
    <w:rsid w:val="00836033"/>
    <w:rsid w:val="008363D7"/>
    <w:rsid w:val="008369BA"/>
    <w:rsid w:val="00844A45"/>
    <w:rsid w:val="00866BEF"/>
    <w:rsid w:val="00866C8C"/>
    <w:rsid w:val="008675B2"/>
    <w:rsid w:val="00876128"/>
    <w:rsid w:val="00881509"/>
    <w:rsid w:val="00885A2D"/>
    <w:rsid w:val="0088610D"/>
    <w:rsid w:val="00894C21"/>
    <w:rsid w:val="008A31D1"/>
    <w:rsid w:val="008A5C55"/>
    <w:rsid w:val="008B5EA9"/>
    <w:rsid w:val="008B6B83"/>
    <w:rsid w:val="008D104B"/>
    <w:rsid w:val="008D2DC4"/>
    <w:rsid w:val="008D3611"/>
    <w:rsid w:val="008D4BD2"/>
    <w:rsid w:val="008E0AA4"/>
    <w:rsid w:val="008E248B"/>
    <w:rsid w:val="008E3EE5"/>
    <w:rsid w:val="008F0B2F"/>
    <w:rsid w:val="008F1B40"/>
    <w:rsid w:val="008F62C4"/>
    <w:rsid w:val="008F74B3"/>
    <w:rsid w:val="00902D82"/>
    <w:rsid w:val="0090554F"/>
    <w:rsid w:val="00915A03"/>
    <w:rsid w:val="00915B75"/>
    <w:rsid w:val="009238AF"/>
    <w:rsid w:val="00925AF3"/>
    <w:rsid w:val="0093262A"/>
    <w:rsid w:val="00934272"/>
    <w:rsid w:val="00935D8A"/>
    <w:rsid w:val="00942732"/>
    <w:rsid w:val="00942922"/>
    <w:rsid w:val="00946DA2"/>
    <w:rsid w:val="009524AD"/>
    <w:rsid w:val="009642B3"/>
    <w:rsid w:val="00970ADB"/>
    <w:rsid w:val="00984D84"/>
    <w:rsid w:val="009869D8"/>
    <w:rsid w:val="00991557"/>
    <w:rsid w:val="009A14E6"/>
    <w:rsid w:val="009B3B72"/>
    <w:rsid w:val="009C1BA1"/>
    <w:rsid w:val="009C4C49"/>
    <w:rsid w:val="009C5D0F"/>
    <w:rsid w:val="009D005F"/>
    <w:rsid w:val="009D1C5C"/>
    <w:rsid w:val="009E2454"/>
    <w:rsid w:val="009E2F99"/>
    <w:rsid w:val="009E407E"/>
    <w:rsid w:val="009E5C8A"/>
    <w:rsid w:val="009E5F7A"/>
    <w:rsid w:val="009F2762"/>
    <w:rsid w:val="00A07497"/>
    <w:rsid w:val="00A07DA7"/>
    <w:rsid w:val="00A10A04"/>
    <w:rsid w:val="00A11AAE"/>
    <w:rsid w:val="00A128DD"/>
    <w:rsid w:val="00A139F3"/>
    <w:rsid w:val="00A14892"/>
    <w:rsid w:val="00A14EFD"/>
    <w:rsid w:val="00A17DC5"/>
    <w:rsid w:val="00A30B5B"/>
    <w:rsid w:val="00A33829"/>
    <w:rsid w:val="00A3445D"/>
    <w:rsid w:val="00A3542F"/>
    <w:rsid w:val="00A36F7F"/>
    <w:rsid w:val="00A40E7B"/>
    <w:rsid w:val="00A502D2"/>
    <w:rsid w:val="00A52CE8"/>
    <w:rsid w:val="00A5770C"/>
    <w:rsid w:val="00A674DB"/>
    <w:rsid w:val="00A70E3E"/>
    <w:rsid w:val="00A71556"/>
    <w:rsid w:val="00A72B44"/>
    <w:rsid w:val="00A737EB"/>
    <w:rsid w:val="00A74272"/>
    <w:rsid w:val="00A77E22"/>
    <w:rsid w:val="00A87F14"/>
    <w:rsid w:val="00A92D86"/>
    <w:rsid w:val="00A92F1E"/>
    <w:rsid w:val="00AA23E7"/>
    <w:rsid w:val="00AB6E4F"/>
    <w:rsid w:val="00AC11B4"/>
    <w:rsid w:val="00AE0B89"/>
    <w:rsid w:val="00AE18C8"/>
    <w:rsid w:val="00AE4E0B"/>
    <w:rsid w:val="00AF3267"/>
    <w:rsid w:val="00AF41E6"/>
    <w:rsid w:val="00AF5B1A"/>
    <w:rsid w:val="00AF7398"/>
    <w:rsid w:val="00B03262"/>
    <w:rsid w:val="00B1315C"/>
    <w:rsid w:val="00B14B12"/>
    <w:rsid w:val="00B203AA"/>
    <w:rsid w:val="00B2091D"/>
    <w:rsid w:val="00B227FD"/>
    <w:rsid w:val="00B2282A"/>
    <w:rsid w:val="00B2286E"/>
    <w:rsid w:val="00B31A0C"/>
    <w:rsid w:val="00B40AF4"/>
    <w:rsid w:val="00B514A6"/>
    <w:rsid w:val="00B52701"/>
    <w:rsid w:val="00B529F9"/>
    <w:rsid w:val="00B56C67"/>
    <w:rsid w:val="00B60645"/>
    <w:rsid w:val="00B653F6"/>
    <w:rsid w:val="00B67EE5"/>
    <w:rsid w:val="00B70DAD"/>
    <w:rsid w:val="00B80825"/>
    <w:rsid w:val="00B8182B"/>
    <w:rsid w:val="00B9648A"/>
    <w:rsid w:val="00BA16C4"/>
    <w:rsid w:val="00BA2E81"/>
    <w:rsid w:val="00BA7D33"/>
    <w:rsid w:val="00BD5ACD"/>
    <w:rsid w:val="00BD6D31"/>
    <w:rsid w:val="00BE065A"/>
    <w:rsid w:val="00BF163E"/>
    <w:rsid w:val="00BF250C"/>
    <w:rsid w:val="00BF2777"/>
    <w:rsid w:val="00BF3C63"/>
    <w:rsid w:val="00C05EB3"/>
    <w:rsid w:val="00C136E6"/>
    <w:rsid w:val="00C156DD"/>
    <w:rsid w:val="00C22CA5"/>
    <w:rsid w:val="00C26DEE"/>
    <w:rsid w:val="00C303B2"/>
    <w:rsid w:val="00C44231"/>
    <w:rsid w:val="00C45F4D"/>
    <w:rsid w:val="00C541ED"/>
    <w:rsid w:val="00C60567"/>
    <w:rsid w:val="00C60771"/>
    <w:rsid w:val="00C876E9"/>
    <w:rsid w:val="00C91656"/>
    <w:rsid w:val="00CA1713"/>
    <w:rsid w:val="00CA7146"/>
    <w:rsid w:val="00CB7014"/>
    <w:rsid w:val="00CC11FA"/>
    <w:rsid w:val="00CC2DC4"/>
    <w:rsid w:val="00CC371F"/>
    <w:rsid w:val="00CD75FD"/>
    <w:rsid w:val="00CE572F"/>
    <w:rsid w:val="00CE7644"/>
    <w:rsid w:val="00CF1F37"/>
    <w:rsid w:val="00CF7BE9"/>
    <w:rsid w:val="00D015F3"/>
    <w:rsid w:val="00D02A6A"/>
    <w:rsid w:val="00D02FDC"/>
    <w:rsid w:val="00D144FD"/>
    <w:rsid w:val="00D16FC5"/>
    <w:rsid w:val="00D2088C"/>
    <w:rsid w:val="00D27448"/>
    <w:rsid w:val="00D27BB3"/>
    <w:rsid w:val="00D27E01"/>
    <w:rsid w:val="00D328FA"/>
    <w:rsid w:val="00D34B04"/>
    <w:rsid w:val="00D35070"/>
    <w:rsid w:val="00D40367"/>
    <w:rsid w:val="00D424F9"/>
    <w:rsid w:val="00D4599C"/>
    <w:rsid w:val="00D56B5A"/>
    <w:rsid w:val="00D57F85"/>
    <w:rsid w:val="00D664F3"/>
    <w:rsid w:val="00D70981"/>
    <w:rsid w:val="00D7481D"/>
    <w:rsid w:val="00D75734"/>
    <w:rsid w:val="00D81C6B"/>
    <w:rsid w:val="00D86475"/>
    <w:rsid w:val="00D902E1"/>
    <w:rsid w:val="00D914C8"/>
    <w:rsid w:val="00D91BA8"/>
    <w:rsid w:val="00D920D9"/>
    <w:rsid w:val="00DA3D87"/>
    <w:rsid w:val="00DA5751"/>
    <w:rsid w:val="00DA7DAD"/>
    <w:rsid w:val="00DB20AC"/>
    <w:rsid w:val="00DB6E57"/>
    <w:rsid w:val="00DC2209"/>
    <w:rsid w:val="00DD0694"/>
    <w:rsid w:val="00DE1B97"/>
    <w:rsid w:val="00DE59C2"/>
    <w:rsid w:val="00DF1255"/>
    <w:rsid w:val="00DF51C7"/>
    <w:rsid w:val="00E07673"/>
    <w:rsid w:val="00E11810"/>
    <w:rsid w:val="00E1257B"/>
    <w:rsid w:val="00E17B28"/>
    <w:rsid w:val="00E23ABB"/>
    <w:rsid w:val="00E320D0"/>
    <w:rsid w:val="00E33D7B"/>
    <w:rsid w:val="00E376E2"/>
    <w:rsid w:val="00E504BC"/>
    <w:rsid w:val="00E508C7"/>
    <w:rsid w:val="00E50C32"/>
    <w:rsid w:val="00E53CC2"/>
    <w:rsid w:val="00E6076A"/>
    <w:rsid w:val="00E635D2"/>
    <w:rsid w:val="00E65763"/>
    <w:rsid w:val="00E65BBE"/>
    <w:rsid w:val="00E66448"/>
    <w:rsid w:val="00E67599"/>
    <w:rsid w:val="00E734B5"/>
    <w:rsid w:val="00E73EC1"/>
    <w:rsid w:val="00E77CAC"/>
    <w:rsid w:val="00E8458B"/>
    <w:rsid w:val="00E85D46"/>
    <w:rsid w:val="00E96866"/>
    <w:rsid w:val="00EA1156"/>
    <w:rsid w:val="00EA3BB5"/>
    <w:rsid w:val="00EA4BF6"/>
    <w:rsid w:val="00EB1243"/>
    <w:rsid w:val="00EB2811"/>
    <w:rsid w:val="00EB3C26"/>
    <w:rsid w:val="00EB45BD"/>
    <w:rsid w:val="00EC2A8A"/>
    <w:rsid w:val="00EC2C5A"/>
    <w:rsid w:val="00EC32BD"/>
    <w:rsid w:val="00ED31E1"/>
    <w:rsid w:val="00ED514C"/>
    <w:rsid w:val="00EE37D7"/>
    <w:rsid w:val="00EE4736"/>
    <w:rsid w:val="00EF0D15"/>
    <w:rsid w:val="00EF5A06"/>
    <w:rsid w:val="00EF7B69"/>
    <w:rsid w:val="00F01EA7"/>
    <w:rsid w:val="00F02DF5"/>
    <w:rsid w:val="00F03060"/>
    <w:rsid w:val="00F11AB6"/>
    <w:rsid w:val="00F15FAC"/>
    <w:rsid w:val="00F245F2"/>
    <w:rsid w:val="00F266CE"/>
    <w:rsid w:val="00F350E5"/>
    <w:rsid w:val="00F35325"/>
    <w:rsid w:val="00F35522"/>
    <w:rsid w:val="00F40FB4"/>
    <w:rsid w:val="00F42550"/>
    <w:rsid w:val="00F479A7"/>
    <w:rsid w:val="00F52C72"/>
    <w:rsid w:val="00F557A8"/>
    <w:rsid w:val="00F57A12"/>
    <w:rsid w:val="00F646F3"/>
    <w:rsid w:val="00F73308"/>
    <w:rsid w:val="00F762D5"/>
    <w:rsid w:val="00F808F9"/>
    <w:rsid w:val="00F82CA9"/>
    <w:rsid w:val="00F84ED1"/>
    <w:rsid w:val="00F91A50"/>
    <w:rsid w:val="00F95061"/>
    <w:rsid w:val="00FA37D3"/>
    <w:rsid w:val="00FA7B01"/>
    <w:rsid w:val="00FB0467"/>
    <w:rsid w:val="00FB6363"/>
    <w:rsid w:val="00FC4788"/>
    <w:rsid w:val="00FC5529"/>
    <w:rsid w:val="00FD3CE1"/>
    <w:rsid w:val="00FE78CF"/>
    <w:rsid w:val="00FF0204"/>
    <w:rsid w:val="00FF17E7"/>
    <w:rsid w:val="00FF1CD9"/>
    <w:rsid w:val="00FF30A4"/>
    <w:rsid w:val="00FF6BD1"/>
    <w:rsid w:val="00FF6EB6"/>
    <w:rsid w:val="059FF8DF"/>
    <w:rsid w:val="05FF5B12"/>
    <w:rsid w:val="0A2892F7"/>
    <w:rsid w:val="20364FB5"/>
    <w:rsid w:val="2AB7CE43"/>
    <w:rsid w:val="2CFFB1E4"/>
    <w:rsid w:val="2E4CE4DA"/>
    <w:rsid w:val="2F8C3A0C"/>
    <w:rsid w:val="3040BDEA"/>
    <w:rsid w:val="35011D89"/>
    <w:rsid w:val="3B262FAE"/>
    <w:rsid w:val="3FFF0849"/>
    <w:rsid w:val="4D247C17"/>
    <w:rsid w:val="4F32FF9F"/>
    <w:rsid w:val="50906037"/>
    <w:rsid w:val="549BF512"/>
    <w:rsid w:val="58C8122B"/>
    <w:rsid w:val="5AD9ECCA"/>
    <w:rsid w:val="62FA63F1"/>
    <w:rsid w:val="64169D80"/>
    <w:rsid w:val="69EB8703"/>
    <w:rsid w:val="70DB63E7"/>
    <w:rsid w:val="74E6D881"/>
    <w:rsid w:val="79E85981"/>
    <w:rsid w:val="7D3E45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3C94A"/>
  <w15:docId w15:val="{9132A739-E1D8-4851-BA14-FFE5848B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s" w:eastAsia="en-GB" w:bidi="ar-SA"/>
      </w:rPr>
    </w:rPrDefault>
    <w:pPrDefault>
      <w:pPr>
        <w:spacing w:before="120" w:after="12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line="256" w:lineRule="auto"/>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rPr>
      <w:rFonts w:ascii="Calibri" w:eastAsia="Calibri" w:hAnsi="Calibri" w:cs="Calibri"/>
      <w:color w:val="000000"/>
      <w:sz w:val="24"/>
      <w:szCs w:val="24"/>
    </w:rPr>
    <w:tblPr>
      <w:tblStyleRowBandSize w:val="1"/>
      <w:tblStyleColBandSize w:val="1"/>
      <w:tblCellMar>
        <w:top w:w="0" w:type="dxa"/>
        <w:left w:w="0" w:type="dxa"/>
        <w:bottom w:w="0" w:type="dxa"/>
        <w:right w:w="0" w:type="dxa"/>
      </w:tblCellMar>
    </w:tblPr>
  </w:style>
  <w:style w:type="paragraph" w:customStyle="1" w:styleId="EIBbullets">
    <w:name w:val="EIB bullets"/>
    <w:basedOn w:val="Normal"/>
    <w:link w:val="EIBbulletsChar"/>
    <w:qFormat/>
    <w:rsid w:val="001C6AB0"/>
    <w:pPr>
      <w:numPr>
        <w:numId w:val="2"/>
      </w:numPr>
      <w:spacing w:before="0" w:after="0" w:line="240" w:lineRule="auto"/>
      <w:jc w:val="both"/>
    </w:pPr>
    <w:rPr>
      <w:rFonts w:eastAsia="Times New Roman"/>
      <w:b/>
      <w:color w:val="000000"/>
      <w:sz w:val="21"/>
      <w:szCs w:val="21"/>
      <w:lang w:val="es-ES" w:eastAsia="en-US"/>
    </w:rPr>
  </w:style>
  <w:style w:type="character" w:customStyle="1" w:styleId="EIBbulletsChar">
    <w:name w:val="EIB bullets Char"/>
    <w:basedOn w:val="DefaultParagraphFont"/>
    <w:link w:val="EIBbullets"/>
    <w:rsid w:val="001C6AB0"/>
    <w:rPr>
      <w:rFonts w:eastAsia="Times New Roman"/>
      <w:b/>
      <w:color w:val="000000"/>
      <w:sz w:val="21"/>
      <w:szCs w:val="21"/>
      <w:lang w:val="es-ES" w:eastAsia="en-US"/>
    </w:rPr>
  </w:style>
  <w:style w:type="table" w:styleId="TableGrid">
    <w:name w:val="Table Grid"/>
    <w:basedOn w:val="TableNormal"/>
    <w:uiPriority w:val="39"/>
    <w:rsid w:val="005802A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7718"/>
    <w:pPr>
      <w:spacing w:before="0" w:after="0" w:line="240" w:lineRule="auto"/>
    </w:pPr>
  </w:style>
  <w:style w:type="character" w:styleId="Hyperlink">
    <w:name w:val="Hyperlink"/>
    <w:basedOn w:val="DefaultParagraphFont"/>
    <w:uiPriority w:val="99"/>
    <w:unhideWhenUsed/>
    <w:rsid w:val="00E376E2"/>
    <w:rPr>
      <w:color w:val="0000FF" w:themeColor="hyperlink"/>
      <w:u w:val="single"/>
    </w:rPr>
  </w:style>
  <w:style w:type="character" w:customStyle="1" w:styleId="UnresolvedMention1">
    <w:name w:val="Unresolved Mention1"/>
    <w:basedOn w:val="DefaultParagraphFont"/>
    <w:uiPriority w:val="99"/>
    <w:semiHidden/>
    <w:unhideWhenUsed/>
    <w:rsid w:val="00E376E2"/>
    <w:rPr>
      <w:color w:val="605E5C"/>
      <w:shd w:val="clear" w:color="auto" w:fill="E1DFDD"/>
    </w:rPr>
  </w:style>
  <w:style w:type="paragraph" w:styleId="Header">
    <w:name w:val="header"/>
    <w:basedOn w:val="Normal"/>
    <w:link w:val="HeaderChar"/>
    <w:uiPriority w:val="99"/>
    <w:unhideWhenUsed/>
    <w:rsid w:val="004916A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916AF"/>
  </w:style>
  <w:style w:type="paragraph" w:styleId="Footer">
    <w:name w:val="footer"/>
    <w:basedOn w:val="Normal"/>
    <w:link w:val="FooterChar"/>
    <w:uiPriority w:val="99"/>
    <w:semiHidden/>
    <w:unhideWhenUsed/>
    <w:rsid w:val="004916AF"/>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4916AF"/>
  </w:style>
  <w:style w:type="character" w:styleId="FollowedHyperlink">
    <w:name w:val="FollowedHyperlink"/>
    <w:basedOn w:val="DefaultParagraphFont"/>
    <w:uiPriority w:val="99"/>
    <w:semiHidden/>
    <w:unhideWhenUsed/>
    <w:rsid w:val="00E33D7B"/>
    <w:rPr>
      <w:color w:val="800080" w:themeColor="followedHyperlink"/>
      <w:u w:val="single"/>
    </w:rPr>
  </w:style>
  <w:style w:type="paragraph" w:styleId="BalloonText">
    <w:name w:val="Balloon Text"/>
    <w:basedOn w:val="Normal"/>
    <w:link w:val="BalloonTextChar"/>
    <w:uiPriority w:val="99"/>
    <w:semiHidden/>
    <w:unhideWhenUsed/>
    <w:rsid w:val="00A11AA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AAE"/>
    <w:rPr>
      <w:rFonts w:ascii="Segoe UI" w:hAnsi="Segoe UI" w:cs="Segoe UI"/>
      <w:sz w:val="18"/>
      <w:szCs w:val="18"/>
    </w:rPr>
  </w:style>
  <w:style w:type="character" w:styleId="UnresolvedMention">
    <w:name w:val="Unresolved Mention"/>
    <w:basedOn w:val="DefaultParagraphFont"/>
    <w:uiPriority w:val="99"/>
    <w:semiHidden/>
    <w:unhideWhenUsed/>
    <w:rsid w:val="005C5D49"/>
    <w:rPr>
      <w:color w:val="605E5C"/>
      <w:shd w:val="clear" w:color="auto" w:fill="E1DFDD"/>
    </w:rPr>
  </w:style>
  <w:style w:type="paragraph" w:customStyle="1" w:styleId="Body">
    <w:name w:val="Body"/>
    <w:qFormat/>
    <w:rsid w:val="005C5D49"/>
    <w:pPr>
      <w:spacing w:before="0" w:after="0" w:line="240" w:lineRule="auto"/>
    </w:pPr>
    <w:rPr>
      <w:rFonts w:ascii="Calibri" w:eastAsia="Calibri" w:hAnsi="Calibri" w:cs="Calibri"/>
      <w:color w:val="000000"/>
      <w:sz w:val="24"/>
      <w:szCs w:val="24"/>
      <w:u w:color="00000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ctualidad.asturias.es/" TargetMode="External"/><Relationship Id="rId18" Type="http://schemas.openxmlformats.org/officeDocument/2006/relationships/hyperlink" Target="https://www.eib.org/en/about/key-figures/index" TargetMode="External"/><Relationship Id="rId26" Type="http://schemas.openxmlformats.org/officeDocument/2006/relationships/image" Target="media/image4.gif"/><Relationship Id="rId39" Type="http://schemas.openxmlformats.org/officeDocument/2006/relationships/theme" Target="theme/theme1.xml"/><Relationship Id="rId21" Type="http://schemas.openxmlformats.org/officeDocument/2006/relationships/hyperlink" Target="https://www.eif.org/index.htm"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eib.org/" TargetMode="External"/><Relationship Id="rId25" Type="http://schemas.openxmlformats.org/officeDocument/2006/relationships/image" Target="media/image3.gif"/><Relationship Id="rId33" Type="http://schemas.openxmlformats.org/officeDocument/2006/relationships/image" Target="media/image11.gif"/><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inea.ec.europa.eu/just-transition-mechanism_en" TargetMode="External"/><Relationship Id="rId20" Type="http://schemas.openxmlformats.org/officeDocument/2006/relationships/hyperlink" Target="https://www.eib.org/en/about/at-a-glance/index.htm" TargetMode="External"/><Relationship Id="rId29" Type="http://schemas.openxmlformats.org/officeDocument/2006/relationships/image" Target="media/image7.gi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ib.org/en/forms/press-form" TargetMode="External"/><Relationship Id="rId32" Type="http://schemas.openxmlformats.org/officeDocument/2006/relationships/image" Target="media/image10.gif"/><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ib.org/en/publications/20250240-eib-group-climate-bank-roadmap-phase-2-2026-2030" TargetMode="External"/><Relationship Id="rId23" Type="http://schemas.openxmlformats.org/officeDocument/2006/relationships/hyperlink" Target="http://www.eib.org/press" TargetMode="External"/><Relationship Id="rId28" Type="http://schemas.openxmlformats.org/officeDocument/2006/relationships/image" Target="media/image6.gif"/><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ib.org/en/about/at-a-glance/eib-core-strategic-priorities" TargetMode="External"/><Relationship Id="rId31" Type="http://schemas.openxmlformats.org/officeDocument/2006/relationships/image" Target="media/image9.g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b.org/en/publications/20240198-eib-group-2024-2027-strategic-roadmap" TargetMode="External"/><Relationship Id="rId22" Type="http://schemas.openxmlformats.org/officeDocument/2006/relationships/hyperlink" Target="https://www.eib.org/en/media-centre/press-kit/index" TargetMode="External"/><Relationship Id="rId27" Type="http://schemas.openxmlformats.org/officeDocument/2006/relationships/image" Target="media/image5.gif"/><Relationship Id="rId30" Type="http://schemas.openxmlformats.org/officeDocument/2006/relationships/image" Target="media/image8.gif"/><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3b48b5-a94e-4c5a-bddf-3255ca8f8fb6">
      <Terms xmlns="http://schemas.microsoft.com/office/infopath/2007/PartnerControls"/>
    </lcf76f155ced4ddcb4097134ff3c332f>
    <TaxCatchAll xmlns="9c5e9da3-9157-48fc-92b6-7a7be1a0d89a"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XrUhxpinigBYcEskumv+nHdzQ==">CgMxLjAyDmguYzQ5M3picjgybHA2Mg5oLjFmcjJ3ZjFpZ3pzcjgAciExZU5YelBWZXpGUnhEd2pRNGtCMDNpUnJSQmZKQ1NmMzk=</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5C29052623B184B90ED8B0954D1A303" ma:contentTypeVersion="16" ma:contentTypeDescription="新しいドキュメントを作成します。" ma:contentTypeScope="" ma:versionID="66524b44d0621a220d36d54421286cf6">
  <xsd:schema xmlns:xsd="http://www.w3.org/2001/XMLSchema" xmlns:xs="http://www.w3.org/2001/XMLSchema" xmlns:p="http://schemas.microsoft.com/office/2006/metadata/properties" xmlns:ns2="593b48b5-a94e-4c5a-bddf-3255ca8f8fb6" xmlns:ns3="9c5e9da3-9157-48fc-92b6-7a7be1a0d89a" targetNamespace="http://schemas.microsoft.com/office/2006/metadata/properties" ma:root="true" ma:fieldsID="8a4cb19b6db328cb225b939fce7edd08" ns2:_="" ns3:_="">
    <xsd:import namespace="593b48b5-a94e-4c5a-bddf-3255ca8f8fb6"/>
    <xsd:import namespace="9c5e9da3-9157-48fc-92b6-7a7be1a0d8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b48b5-a94e-4c5a-bddf-3255ca8f8f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f0d5e778-744b-4c35-87ab-55c815fbb51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5e9da3-9157-48fc-92b6-7a7be1a0d89a"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5df78784-4cd9-4808-9fdd-80d67c679f09}" ma:internalName="TaxCatchAll" ma:showField="CatchAllData" ma:web="9c5e9da3-9157-48fc-92b6-7a7be1a0d8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231D2A-1A35-4468-87C5-B2F1B72E76E7}">
  <ds:schemaRefs>
    <ds:schemaRef ds:uri="http://schemas.microsoft.com/office/2006/metadata/properties"/>
    <ds:schemaRef ds:uri="http://schemas.microsoft.com/office/infopath/2007/PartnerControls"/>
    <ds:schemaRef ds:uri="593b48b5-a94e-4c5a-bddf-3255ca8f8fb6"/>
    <ds:schemaRef ds:uri="9c5e9da3-9157-48fc-92b6-7a7be1a0d89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D697A63-A894-4A24-A9F2-F07543896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b48b5-a94e-4c5a-bddf-3255ca8f8fb6"/>
    <ds:schemaRef ds:uri="9c5e9da3-9157-48fc-92b6-7a7be1a0d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C6F72E-A953-4DF7-8E33-632B95A6ED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1798</Words>
  <Characters>9731</Characters>
  <Application>Microsoft Office Word</Application>
  <DocSecurity>0</DocSecurity>
  <Lines>167</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CORDERO MUÑOZ María Teresa</dc:creator>
  <cp:keywords/>
  <cp:lastModifiedBy>PAQUET Beatrice</cp:lastModifiedBy>
  <cp:revision>3</cp:revision>
  <dcterms:created xsi:type="dcterms:W3CDTF">2026-10-13T11:27:00Z</dcterms:created>
  <dcterms:modified xsi:type="dcterms:W3CDTF">2026-10-13T11:28:00Z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b66c57-0888-49c5-9c42-f8765a044c7f_Enabled">
    <vt:lpwstr>true</vt:lpwstr>
  </property>
  <property fmtid="{D5CDD505-2E9C-101B-9397-08002B2CF9AE}" pid="3" name="MSIP_Label_a2b66c57-0888-49c5-9c42-f8765a044c7f_SetDate">
    <vt:lpwstr>2023-06-29T09:17:55Z</vt:lpwstr>
  </property>
  <property fmtid="{D5CDD505-2E9C-101B-9397-08002B2CF9AE}" pid="4" name="MSIP_Label_a2b66c57-0888-49c5-9c42-f8765a044c7f_Method">
    <vt:lpwstr>Privileged</vt:lpwstr>
  </property>
  <property fmtid="{D5CDD505-2E9C-101B-9397-08002B2CF9AE}" pid="5" name="MSIP_Label_a2b66c57-0888-49c5-9c42-f8765a044c7f_Name">
    <vt:lpwstr>Default Public</vt:lpwstr>
  </property>
  <property fmtid="{D5CDD505-2E9C-101B-9397-08002B2CF9AE}" pid="6" name="MSIP_Label_a2b66c57-0888-49c5-9c42-f8765a044c7f_SiteId">
    <vt:lpwstr>0b96d5d2-d153-4370-a2c7-8a926f24c8a1</vt:lpwstr>
  </property>
  <property fmtid="{D5CDD505-2E9C-101B-9397-08002B2CF9AE}" pid="7" name="MSIP_Label_a2b66c57-0888-49c5-9c42-f8765a044c7f_ActionId">
    <vt:lpwstr>2df8cb19-8286-4b01-a020-3497d3b2d4bb</vt:lpwstr>
  </property>
  <property fmtid="{D5CDD505-2E9C-101B-9397-08002B2CF9AE}" pid="8" name="MSIP_Label_a2b66c57-0888-49c5-9c42-f8765a044c7f_ContentBits">
    <vt:lpwstr>1</vt:lpwstr>
  </property>
  <property fmtid="{D5CDD505-2E9C-101B-9397-08002B2CF9AE}" pid="9" name="ContentTypeId">
    <vt:lpwstr>0x01010045C29052623B184B90ED8B0954D1A303</vt:lpwstr>
  </property>
  <property fmtid="{D5CDD505-2E9C-101B-9397-08002B2CF9AE}" pid="10" name="MediaServiceImageTags">
    <vt:lpwstr>MediaServiceImageTags</vt:lpwstr>
  </property>
  <property fmtid="{D5CDD505-2E9C-101B-9397-08002B2CF9AE}" pid="11" name="MSIP_Label_6bd9ddd1-4d20-43f6-abfa-fc3c07406f94_Enabled">
    <vt:lpwstr>true</vt:lpwstr>
  </property>
  <property fmtid="{D5CDD505-2E9C-101B-9397-08002B2CF9AE}" pid="12" name="MSIP_Label_6bd9ddd1-4d20-43f6-abfa-fc3c07406f94_SetDate">
    <vt:lpwstr>2023-10-20T10:32:18Z</vt:lpwstr>
  </property>
  <property fmtid="{D5CDD505-2E9C-101B-9397-08002B2CF9AE}" pid="13" name="MSIP_Label_6bd9ddd1-4d20-43f6-abfa-fc3c07406f94_Method">
    <vt:lpwstr>Privileged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6ebb9f2e-a74a-4f44-a5f3-713303b989c4</vt:lpwstr>
  </property>
  <property fmtid="{D5CDD505-2E9C-101B-9397-08002B2CF9AE}" pid="17" name="MSIP_Label_6bd9ddd1-4d20-43f6-abfa-fc3c07406f94_ContentBits">
    <vt:lpwstr>0</vt:lpwstr>
  </property>
  <property fmtid="{D5CDD505-2E9C-101B-9397-08002B2CF9AE}" pid="18" name="ClassificationContentMarkingFooterShapeIds">
    <vt:lpwstr>5eba1baf,2e5f5ec6,7b97082</vt:lpwstr>
  </property>
  <property fmtid="{D5CDD505-2E9C-101B-9397-08002B2CF9AE}" pid="19" name="ClassificationContentMarkingFooterFontProps">
    <vt:lpwstr>#000000,10,Calibri</vt:lpwstr>
  </property>
  <property fmtid="{D5CDD505-2E9C-101B-9397-08002B2CF9AE}" pid="20" name="ClassificationContentMarkingFooterText">
    <vt:lpwstr>Intern gebruik</vt:lpwstr>
  </property>
</Properties>
</file>