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95F7B" w14:textId="6991A709" w:rsidR="00B57C8C" w:rsidRDefault="00B57C8C" w:rsidP="00DC0903">
      <w:pPr>
        <w:spacing w:after="0" w:line="360" w:lineRule="auto"/>
        <w:rPr>
          <w:rFonts w:ascii="Arial" w:eastAsiaTheme="minorHAnsi" w:hAnsi="Arial" w:cs="Arial"/>
          <w:b/>
          <w:bCs/>
          <w:color w:val="C00000"/>
          <w:u w:val="single"/>
          <w:lang w:eastAsia="en-US"/>
        </w:rPr>
      </w:pPr>
      <w:r w:rsidRPr="004846F2">
        <w:rPr>
          <w:rFonts w:ascii="Arial" w:eastAsiaTheme="minorHAnsi" w:hAnsi="Arial" w:cs="Arial"/>
          <w:b/>
          <w:bCs/>
          <w:color w:val="C00000"/>
          <w:u w:val="single"/>
          <w:lang w:eastAsia="en-US"/>
        </w:rPr>
        <w:t>Press Release</w:t>
      </w:r>
    </w:p>
    <w:p w14:paraId="77BF708E" w14:textId="77777777" w:rsidR="002A3207" w:rsidRPr="004846F2" w:rsidRDefault="002A3207" w:rsidP="00DC0903">
      <w:pPr>
        <w:spacing w:after="0" w:line="360" w:lineRule="auto"/>
        <w:rPr>
          <w:rFonts w:ascii="Arial" w:eastAsiaTheme="minorHAnsi" w:hAnsi="Arial" w:cs="Arial"/>
          <w:b/>
          <w:bCs/>
          <w:color w:val="C00000"/>
          <w:u w:val="single"/>
          <w:lang w:eastAsia="en-US"/>
        </w:rPr>
      </w:pPr>
    </w:p>
    <w:p w14:paraId="2367CAD5" w14:textId="4351F480" w:rsidR="00742A2B" w:rsidRPr="004846F2" w:rsidRDefault="00BC1350" w:rsidP="00742A2B">
      <w:pPr>
        <w:spacing w:line="360" w:lineRule="auto"/>
        <w:jc w:val="center"/>
        <w:rPr>
          <w:rFonts w:ascii="Arial" w:hAnsi="Arial" w:cs="Arial"/>
          <w:b/>
          <w:bCs/>
          <w:color w:val="006193"/>
          <w:kern w:val="0"/>
          <w:sz w:val="28"/>
          <w:szCs w:val="28"/>
          <w:lang w:eastAsia="en-US"/>
          <w14:ligatures w14:val="none"/>
        </w:rPr>
      </w:pPr>
      <w:r w:rsidRPr="004846F2">
        <w:rPr>
          <w:rFonts w:ascii="Arial" w:hAnsi="Arial" w:cs="Arial"/>
          <w:b/>
          <w:bCs/>
          <w:color w:val="006193"/>
          <w:sz w:val="28"/>
          <w:szCs w:val="28"/>
          <w:lang w:eastAsia="en-US"/>
        </w:rPr>
        <w:t>Fidelity International</w:t>
      </w:r>
      <w:r w:rsidR="00424027" w:rsidRPr="004846F2">
        <w:rPr>
          <w:rFonts w:ascii="Arial" w:hAnsi="Arial" w:cs="Arial"/>
          <w:b/>
          <w:bCs/>
          <w:color w:val="006193"/>
          <w:sz w:val="28"/>
          <w:szCs w:val="28"/>
          <w:lang w:eastAsia="en-US"/>
        </w:rPr>
        <w:t xml:space="preserve"> </w:t>
      </w:r>
      <w:r w:rsidR="005D6BB8" w:rsidRPr="004846F2">
        <w:rPr>
          <w:rFonts w:ascii="Arial" w:hAnsi="Arial" w:cs="Arial"/>
          <w:b/>
          <w:bCs/>
          <w:color w:val="006193"/>
          <w:sz w:val="28"/>
          <w:szCs w:val="28"/>
          <w:lang w:eastAsia="en-US"/>
        </w:rPr>
        <w:t>study</w:t>
      </w:r>
      <w:r w:rsidR="00424027" w:rsidRPr="004846F2">
        <w:rPr>
          <w:rFonts w:ascii="Arial" w:hAnsi="Arial" w:cs="Arial"/>
          <w:b/>
          <w:bCs/>
          <w:color w:val="006193"/>
          <w:sz w:val="28"/>
          <w:szCs w:val="28"/>
          <w:lang w:eastAsia="en-US"/>
        </w:rPr>
        <w:t xml:space="preserve"> reveals</w:t>
      </w:r>
      <w:r w:rsidR="005F27A4" w:rsidRPr="004846F2">
        <w:rPr>
          <w:rFonts w:ascii="Arial" w:hAnsi="Arial" w:cs="Arial"/>
          <w:b/>
          <w:bCs/>
          <w:color w:val="006193"/>
          <w:sz w:val="28"/>
          <w:szCs w:val="28"/>
          <w:lang w:eastAsia="en-US"/>
        </w:rPr>
        <w:t xml:space="preserve"> </w:t>
      </w:r>
      <w:r w:rsidR="00E95AF6" w:rsidRPr="004846F2">
        <w:rPr>
          <w:rFonts w:ascii="Arial" w:hAnsi="Arial" w:cs="Arial"/>
          <w:b/>
          <w:bCs/>
          <w:color w:val="006193"/>
          <w:sz w:val="28"/>
          <w:szCs w:val="28"/>
          <w:lang w:eastAsia="en-US"/>
        </w:rPr>
        <w:t>active ETFs</w:t>
      </w:r>
      <w:r w:rsidR="00E509C6">
        <w:rPr>
          <w:rFonts w:ascii="Arial" w:hAnsi="Arial" w:cs="Arial"/>
          <w:b/>
          <w:bCs/>
          <w:color w:val="006193"/>
          <w:sz w:val="28"/>
          <w:szCs w:val="28"/>
          <w:lang w:eastAsia="en-US"/>
        </w:rPr>
        <w:t xml:space="preserve"> are</w:t>
      </w:r>
      <w:r w:rsidR="00E95AF6" w:rsidRPr="004846F2">
        <w:rPr>
          <w:rFonts w:ascii="Arial" w:hAnsi="Arial" w:cs="Arial"/>
          <w:b/>
          <w:bCs/>
          <w:color w:val="006193"/>
          <w:sz w:val="28"/>
          <w:szCs w:val="28"/>
          <w:lang w:eastAsia="en-US"/>
        </w:rPr>
        <w:t xml:space="preserve"> </w:t>
      </w:r>
      <w:r w:rsidR="00ED2E9F" w:rsidRPr="004846F2">
        <w:rPr>
          <w:rFonts w:ascii="Arial" w:hAnsi="Arial" w:cs="Arial"/>
          <w:b/>
          <w:bCs/>
          <w:color w:val="006193"/>
          <w:sz w:val="28"/>
          <w:szCs w:val="28"/>
          <w:lang w:eastAsia="en-US"/>
        </w:rPr>
        <w:t>most in-demand growth area for</w:t>
      </w:r>
      <w:r w:rsidR="00E95AF6" w:rsidRPr="004846F2">
        <w:rPr>
          <w:rFonts w:ascii="Arial" w:hAnsi="Arial" w:cs="Arial"/>
          <w:b/>
          <w:bCs/>
          <w:color w:val="006193"/>
          <w:sz w:val="28"/>
          <w:szCs w:val="28"/>
          <w:lang w:eastAsia="en-US"/>
        </w:rPr>
        <w:t xml:space="preserve"> professional </w:t>
      </w:r>
      <w:r w:rsidR="00BE7F2F" w:rsidRPr="004846F2">
        <w:rPr>
          <w:rFonts w:ascii="Arial" w:hAnsi="Arial" w:cs="Arial"/>
          <w:b/>
          <w:bCs/>
          <w:color w:val="006193"/>
          <w:sz w:val="28"/>
          <w:szCs w:val="28"/>
          <w:lang w:eastAsia="en-US"/>
        </w:rPr>
        <w:t>investor</w:t>
      </w:r>
      <w:r w:rsidR="65415E93" w:rsidRPr="004846F2">
        <w:rPr>
          <w:rFonts w:ascii="Arial" w:hAnsi="Arial" w:cs="Arial"/>
          <w:b/>
          <w:bCs/>
          <w:color w:val="006193"/>
          <w:sz w:val="28"/>
          <w:szCs w:val="28"/>
          <w:lang w:eastAsia="en-US"/>
        </w:rPr>
        <w:t>s</w:t>
      </w:r>
    </w:p>
    <w:p w14:paraId="0A11DEA4" w14:textId="009EF009" w:rsidR="005E0CF6" w:rsidRPr="004846F2" w:rsidRDefault="00C75EBD" w:rsidP="00742A2B">
      <w:pPr>
        <w:pStyle w:val="NormalWeb"/>
        <w:numPr>
          <w:ilvl w:val="0"/>
          <w:numId w:val="2"/>
        </w:numPr>
        <w:spacing w:line="360" w:lineRule="auto"/>
        <w:jc w:val="center"/>
        <w:rPr>
          <w:rFonts w:ascii="Arial" w:eastAsia="Arial" w:hAnsi="Arial" w:cs="Arial"/>
          <w:kern w:val="2"/>
          <w:sz w:val="22"/>
          <w:szCs w:val="22"/>
          <w14:ligatures w14:val="standardContextual"/>
        </w:rPr>
      </w:pPr>
      <w:r w:rsidRPr="004846F2">
        <w:rPr>
          <w:rFonts w:ascii="Arial" w:eastAsia="Arial" w:hAnsi="Arial" w:cs="Arial"/>
          <w:kern w:val="2"/>
          <w:sz w:val="22"/>
          <w:szCs w:val="22"/>
          <w14:ligatures w14:val="standardContextual"/>
        </w:rPr>
        <w:t xml:space="preserve">37% of investors </w:t>
      </w:r>
      <w:r w:rsidR="005E0CF6" w:rsidRPr="004846F2">
        <w:rPr>
          <w:rFonts w:ascii="Arial" w:eastAsia="Arial" w:hAnsi="Arial" w:cs="Arial"/>
          <w:kern w:val="2"/>
          <w:sz w:val="22"/>
          <w:szCs w:val="22"/>
          <w14:ligatures w14:val="standardContextual"/>
        </w:rPr>
        <w:t xml:space="preserve">surveyed </w:t>
      </w:r>
      <w:r w:rsidRPr="004846F2">
        <w:rPr>
          <w:rFonts w:ascii="Arial" w:eastAsia="Arial" w:hAnsi="Arial" w:cs="Arial"/>
          <w:kern w:val="2"/>
          <w:sz w:val="22"/>
          <w:szCs w:val="22"/>
          <w14:ligatures w14:val="standardContextual"/>
        </w:rPr>
        <w:t>anticipat</w:t>
      </w:r>
      <w:r w:rsidR="005E0CF6" w:rsidRPr="004846F2">
        <w:rPr>
          <w:rFonts w:ascii="Arial" w:eastAsia="Arial" w:hAnsi="Arial" w:cs="Arial"/>
          <w:kern w:val="2"/>
          <w:sz w:val="22"/>
          <w:szCs w:val="22"/>
          <w14:ligatures w14:val="standardContextual"/>
        </w:rPr>
        <w:t>e</w:t>
      </w:r>
      <w:r w:rsidRPr="004846F2">
        <w:rPr>
          <w:rFonts w:ascii="Arial" w:eastAsia="Arial" w:hAnsi="Arial" w:cs="Arial"/>
          <w:kern w:val="2"/>
          <w:sz w:val="22"/>
          <w:szCs w:val="22"/>
          <w14:ligatures w14:val="standardContextual"/>
        </w:rPr>
        <w:t xml:space="preserve"> an increase in their allocations to active ETFs over the next 18 months</w:t>
      </w:r>
      <w:r w:rsidR="00E33974" w:rsidRPr="004846F2">
        <w:rPr>
          <w:rFonts w:ascii="Arial" w:eastAsia="Arial" w:hAnsi="Arial" w:cs="Arial"/>
          <w:kern w:val="2"/>
          <w:sz w:val="22"/>
          <w:szCs w:val="22"/>
          <w14:ligatures w14:val="standardContextual"/>
        </w:rPr>
        <w:t>.</w:t>
      </w:r>
      <w:r w:rsidR="005E0CF6" w:rsidRPr="004846F2">
        <w:rPr>
          <w:rFonts w:ascii="Arial" w:eastAsia="Arial" w:hAnsi="Arial" w:cs="Arial"/>
          <w:kern w:val="2"/>
          <w:sz w:val="22"/>
          <w:szCs w:val="22"/>
          <w14:ligatures w14:val="standardContextual"/>
        </w:rPr>
        <w:t xml:space="preserve"> </w:t>
      </w:r>
    </w:p>
    <w:p w14:paraId="03FAA9CF" w14:textId="59B04D54" w:rsidR="005E0CF6" w:rsidRPr="004846F2" w:rsidRDefault="005E0CF6" w:rsidP="005E0CF6">
      <w:pPr>
        <w:pStyle w:val="NormalWeb"/>
        <w:numPr>
          <w:ilvl w:val="0"/>
          <w:numId w:val="2"/>
        </w:numPr>
        <w:spacing w:line="360" w:lineRule="auto"/>
        <w:jc w:val="center"/>
        <w:rPr>
          <w:rFonts w:ascii="Arial" w:eastAsia="Arial" w:hAnsi="Arial" w:cs="Arial"/>
          <w:kern w:val="2"/>
          <w:sz w:val="22"/>
          <w:szCs w:val="22"/>
          <w14:ligatures w14:val="standardContextual"/>
        </w:rPr>
      </w:pPr>
      <w:r w:rsidRPr="004846F2">
        <w:rPr>
          <w:rFonts w:ascii="Arial" w:eastAsia="Arial" w:hAnsi="Arial" w:cs="Arial"/>
          <w:kern w:val="2"/>
          <w:sz w:val="22"/>
          <w:szCs w:val="22"/>
          <w14:ligatures w14:val="standardContextual"/>
        </w:rPr>
        <w:t>This increases to 61% among intermediary distributors</w:t>
      </w:r>
      <w:r w:rsidR="003A1784" w:rsidRPr="004846F2">
        <w:rPr>
          <w:rFonts w:ascii="Arial" w:eastAsia="Arial" w:hAnsi="Arial" w:cs="Arial"/>
          <w:kern w:val="2"/>
          <w:sz w:val="22"/>
          <w:szCs w:val="22"/>
          <w14:ligatures w14:val="standardContextual"/>
        </w:rPr>
        <w:t>.</w:t>
      </w:r>
      <w:r w:rsidRPr="004846F2">
        <w:rPr>
          <w:rFonts w:ascii="Arial" w:eastAsia="Arial" w:hAnsi="Arial" w:cs="Arial"/>
          <w:kern w:val="2"/>
          <w:sz w:val="22"/>
          <w:szCs w:val="22"/>
          <w14:ligatures w14:val="standardContextual"/>
        </w:rPr>
        <w:t xml:space="preserve"> </w:t>
      </w:r>
    </w:p>
    <w:p w14:paraId="439E5233" w14:textId="2920F831" w:rsidR="00BE47ED" w:rsidRPr="004846F2" w:rsidRDefault="00F81581" w:rsidP="00DC0903">
      <w:pPr>
        <w:pStyle w:val="ListParagraph"/>
        <w:numPr>
          <w:ilvl w:val="0"/>
          <w:numId w:val="2"/>
        </w:numPr>
        <w:spacing w:line="360" w:lineRule="auto"/>
        <w:jc w:val="center"/>
        <w:rPr>
          <w:rFonts w:ascii="Arial" w:hAnsi="Arial" w:cs="Arial"/>
        </w:rPr>
      </w:pPr>
      <w:r w:rsidRPr="004846F2">
        <w:rPr>
          <w:rFonts w:ascii="Arial" w:hAnsi="Arial" w:cs="Arial"/>
        </w:rPr>
        <w:t xml:space="preserve">Main reasons for choosing active ETFs are reducing cost, generating alpha and </w:t>
      </w:r>
      <w:r w:rsidR="00E33974" w:rsidRPr="004846F2">
        <w:rPr>
          <w:rFonts w:ascii="Arial" w:hAnsi="Arial" w:cs="Arial"/>
        </w:rPr>
        <w:t>p</w:t>
      </w:r>
      <w:r w:rsidRPr="004846F2">
        <w:rPr>
          <w:rFonts w:ascii="Arial" w:hAnsi="Arial" w:cs="Arial"/>
        </w:rPr>
        <w:t>roviding access to specialist areas</w:t>
      </w:r>
      <w:r w:rsidR="00E33974" w:rsidRPr="004846F2">
        <w:rPr>
          <w:rFonts w:ascii="Arial" w:hAnsi="Arial" w:cs="Arial"/>
        </w:rPr>
        <w:t>.</w:t>
      </w:r>
    </w:p>
    <w:p w14:paraId="697A32CD" w14:textId="77777777" w:rsidR="005D2419" w:rsidRPr="004846F2" w:rsidRDefault="005D2419" w:rsidP="00DC0903">
      <w:pPr>
        <w:spacing w:line="360" w:lineRule="auto"/>
        <w:rPr>
          <w:rFonts w:ascii="Arial" w:hAnsi="Arial" w:cs="Arial"/>
          <w:b/>
          <w:kern w:val="0"/>
          <w:lang w:eastAsia="en-US"/>
          <w14:ligatures w14:val="none"/>
        </w:rPr>
      </w:pPr>
    </w:p>
    <w:p w14:paraId="4319F94D" w14:textId="7AFC3246" w:rsidR="00A301C8" w:rsidRPr="004846F2" w:rsidRDefault="00B1208E" w:rsidP="00DC0903">
      <w:pPr>
        <w:spacing w:line="360" w:lineRule="auto"/>
        <w:rPr>
          <w:rFonts w:ascii="Arial" w:eastAsia="Arial" w:hAnsi="Arial" w:cs="Arial"/>
        </w:rPr>
      </w:pPr>
      <w:r w:rsidRPr="0B1E2389">
        <w:rPr>
          <w:rFonts w:ascii="Arial" w:hAnsi="Arial" w:cs="Arial"/>
          <w:b/>
          <w:bCs/>
          <w:kern w:val="0"/>
          <w:lang w:eastAsia="en-US"/>
          <w14:ligatures w14:val="none"/>
        </w:rPr>
        <w:t>London:</w:t>
      </w:r>
      <w:r w:rsidR="0098448C" w:rsidRPr="0B1E2389">
        <w:rPr>
          <w:rFonts w:ascii="Arial" w:hAnsi="Arial" w:cs="Arial"/>
          <w:b/>
          <w:bCs/>
          <w:kern w:val="0"/>
          <w:lang w:eastAsia="en-US"/>
          <w14:ligatures w14:val="none"/>
        </w:rPr>
        <w:t xml:space="preserve"> </w:t>
      </w:r>
      <w:r w:rsidR="00234B48" w:rsidRPr="0B1E2389">
        <w:rPr>
          <w:rFonts w:ascii="Arial" w:hAnsi="Arial" w:cs="Arial"/>
          <w:kern w:val="0"/>
          <w:lang w:eastAsia="en-US"/>
          <w14:ligatures w14:val="none"/>
        </w:rPr>
        <w:t xml:space="preserve">Professional Investors are increasingly </w:t>
      </w:r>
      <w:r w:rsidR="00914BFE" w:rsidRPr="0B1E2389">
        <w:rPr>
          <w:rFonts w:ascii="Arial" w:hAnsi="Arial" w:cs="Arial"/>
          <w:kern w:val="0"/>
          <w:lang w:eastAsia="en-US"/>
          <w14:ligatures w14:val="none"/>
        </w:rPr>
        <w:t xml:space="preserve">favouring </w:t>
      </w:r>
      <w:r w:rsidR="00B72260" w:rsidRPr="0B1E2389">
        <w:rPr>
          <w:rFonts w:ascii="Arial" w:hAnsi="Arial" w:cs="Arial"/>
          <w:kern w:val="0"/>
          <w:lang w:eastAsia="en-US"/>
          <w14:ligatures w14:val="none"/>
        </w:rPr>
        <w:t>active</w:t>
      </w:r>
      <w:r w:rsidR="00FD18F8" w:rsidRPr="0B1E2389">
        <w:rPr>
          <w:rFonts w:ascii="Arial" w:hAnsi="Arial" w:cs="Arial"/>
          <w:kern w:val="0"/>
          <w:lang w:eastAsia="en-US"/>
          <w14:ligatures w14:val="none"/>
        </w:rPr>
        <w:t xml:space="preserve"> ETFs</w:t>
      </w:r>
      <w:r w:rsidR="007F721B" w:rsidRPr="0B1E2389">
        <w:rPr>
          <w:rFonts w:ascii="Arial" w:hAnsi="Arial" w:cs="Arial"/>
          <w:kern w:val="0"/>
          <w:lang w:eastAsia="en-US"/>
          <w14:ligatures w14:val="none"/>
        </w:rPr>
        <w:t xml:space="preserve"> over other investment vehicles, </w:t>
      </w:r>
      <w:r w:rsidR="00E84A32" w:rsidRPr="0B1E2389">
        <w:rPr>
          <w:rFonts w:ascii="Arial" w:hAnsi="Arial" w:cs="Arial"/>
          <w:kern w:val="0"/>
          <w:lang w:eastAsia="en-US"/>
          <w14:ligatures w14:val="none"/>
        </w:rPr>
        <w:t>according to new findings from</w:t>
      </w:r>
      <w:r w:rsidR="00E84A32" w:rsidRPr="0B1E2389">
        <w:rPr>
          <w:rFonts w:ascii="Arial" w:hAnsi="Arial" w:cs="Arial"/>
          <w:b/>
          <w:bCs/>
          <w:kern w:val="0"/>
          <w:lang w:eastAsia="en-US"/>
          <w14:ligatures w14:val="none"/>
        </w:rPr>
        <w:t xml:space="preserve"> </w:t>
      </w:r>
      <w:r w:rsidR="005E6ABF" w:rsidRPr="004846F2">
        <w:rPr>
          <w:rFonts w:ascii="Arial" w:eastAsia="Arial" w:hAnsi="Arial" w:cs="Arial"/>
        </w:rPr>
        <w:t>Fidelity International</w:t>
      </w:r>
      <w:r w:rsidR="008C1B42" w:rsidRPr="004846F2">
        <w:rPr>
          <w:rFonts w:ascii="Arial" w:eastAsia="Arial" w:hAnsi="Arial" w:cs="Arial"/>
        </w:rPr>
        <w:t>’s</w:t>
      </w:r>
      <w:r w:rsidR="005E6ABF" w:rsidRPr="004846F2">
        <w:rPr>
          <w:rFonts w:ascii="Arial" w:eastAsia="Arial" w:hAnsi="Arial" w:cs="Arial"/>
        </w:rPr>
        <w:t xml:space="preserve"> (</w:t>
      </w:r>
      <w:r w:rsidR="008C1B42" w:rsidRPr="004846F2">
        <w:rPr>
          <w:rFonts w:ascii="Arial" w:eastAsia="Arial" w:hAnsi="Arial" w:cs="Arial"/>
        </w:rPr>
        <w:t>“</w:t>
      </w:r>
      <w:r w:rsidR="005E6ABF" w:rsidRPr="004846F2">
        <w:rPr>
          <w:rFonts w:ascii="Arial" w:eastAsia="Arial" w:hAnsi="Arial" w:cs="Arial"/>
        </w:rPr>
        <w:t>Fidelity</w:t>
      </w:r>
      <w:r w:rsidR="008C1B42" w:rsidRPr="004846F2">
        <w:rPr>
          <w:rFonts w:ascii="Arial" w:eastAsia="Arial" w:hAnsi="Arial" w:cs="Arial"/>
        </w:rPr>
        <w:t>”</w:t>
      </w:r>
      <w:r w:rsidR="005E6ABF" w:rsidRPr="004846F2">
        <w:rPr>
          <w:rFonts w:ascii="Arial" w:eastAsia="Arial" w:hAnsi="Arial" w:cs="Arial"/>
        </w:rPr>
        <w:t xml:space="preserve">) </w:t>
      </w:r>
      <w:r w:rsidR="005E6ABF" w:rsidRPr="0B1E2389">
        <w:rPr>
          <w:rFonts w:ascii="Arial" w:eastAsia="Arial" w:hAnsi="Arial" w:cs="Arial"/>
          <w:b/>
          <w:bCs/>
          <w:i/>
          <w:iCs/>
        </w:rPr>
        <w:t>Professional</w:t>
      </w:r>
      <w:r w:rsidR="006D16EE" w:rsidRPr="0B1E2389">
        <w:rPr>
          <w:rFonts w:ascii="Arial" w:eastAsia="Arial" w:hAnsi="Arial" w:cs="Arial"/>
          <w:b/>
          <w:bCs/>
          <w:i/>
          <w:iCs/>
        </w:rPr>
        <w:t xml:space="preserve"> Investor</w:t>
      </w:r>
      <w:r w:rsidR="005E6ABF" w:rsidRPr="0B1E2389">
        <w:rPr>
          <w:rFonts w:ascii="Arial" w:eastAsia="Arial" w:hAnsi="Arial" w:cs="Arial"/>
          <w:b/>
          <w:bCs/>
          <w:i/>
          <w:iCs/>
        </w:rPr>
        <w:t xml:space="preserve"> DNA</w:t>
      </w:r>
      <w:r w:rsidR="005E6ABF" w:rsidRPr="004846F2">
        <w:rPr>
          <w:rFonts w:ascii="Arial" w:eastAsia="Arial" w:hAnsi="Arial" w:cs="Arial"/>
        </w:rPr>
        <w:t xml:space="preserve"> </w:t>
      </w:r>
      <w:r w:rsidR="005E6ABF" w:rsidRPr="0B1E2389">
        <w:rPr>
          <w:rFonts w:ascii="Arial" w:eastAsia="Arial" w:hAnsi="Arial" w:cs="Arial"/>
          <w:b/>
          <w:bCs/>
          <w:i/>
          <w:iCs/>
        </w:rPr>
        <w:t>Survey</w:t>
      </w:r>
      <w:r w:rsidR="00AF1F3C" w:rsidRPr="0B1E2389">
        <w:rPr>
          <w:rFonts w:ascii="Arial" w:eastAsia="Arial" w:hAnsi="Arial" w:cs="Arial"/>
          <w:b/>
          <w:bCs/>
          <w:i/>
          <w:iCs/>
        </w:rPr>
        <w:t>.</w:t>
      </w:r>
    </w:p>
    <w:p w14:paraId="2D1257FE" w14:textId="152827BA" w:rsidR="00F2086A" w:rsidRPr="004846F2" w:rsidRDefault="009B75FF" w:rsidP="00FA306B">
      <w:pPr>
        <w:spacing w:line="360" w:lineRule="auto"/>
        <w:rPr>
          <w:rFonts w:ascii="Arial" w:eastAsia="Arial" w:hAnsi="Arial" w:cs="Arial"/>
        </w:rPr>
      </w:pPr>
      <w:r w:rsidRPr="004846F2">
        <w:rPr>
          <w:rFonts w:ascii="Arial" w:eastAsia="Arial" w:hAnsi="Arial" w:cs="Arial"/>
        </w:rPr>
        <w:t>The European ETF market continued its impressive growth in 2024, surpassing $2tn in asset under management for the first time</w:t>
      </w:r>
      <w:r w:rsidR="008F2611" w:rsidRPr="008F2611">
        <w:rPr>
          <w:rFonts w:ascii="Arial" w:eastAsia="Arial" w:hAnsi="Arial" w:cs="Arial"/>
          <w:vertAlign w:val="superscript"/>
        </w:rPr>
        <w:t>1</w:t>
      </w:r>
      <w:r w:rsidR="003C68A8">
        <w:rPr>
          <w:rFonts w:ascii="Arial" w:eastAsia="Arial" w:hAnsi="Arial" w:cs="Arial"/>
        </w:rPr>
        <w:t>.</w:t>
      </w:r>
      <w:r w:rsidR="002320DE" w:rsidRPr="004846F2">
        <w:rPr>
          <w:rFonts w:ascii="Arial" w:eastAsia="Arial" w:hAnsi="Arial" w:cs="Arial"/>
        </w:rPr>
        <w:t xml:space="preserve"> </w:t>
      </w:r>
      <w:r w:rsidR="003434F0" w:rsidRPr="004846F2">
        <w:rPr>
          <w:rFonts w:ascii="Arial" w:eastAsia="Arial" w:hAnsi="Arial" w:cs="Arial"/>
        </w:rPr>
        <w:t xml:space="preserve">Despite this, </w:t>
      </w:r>
      <w:r w:rsidR="00833574" w:rsidRPr="004846F2">
        <w:rPr>
          <w:rFonts w:ascii="Arial" w:eastAsia="Arial" w:hAnsi="Arial" w:cs="Arial"/>
        </w:rPr>
        <w:t xml:space="preserve">active ETFs remain </w:t>
      </w:r>
      <w:r w:rsidR="003434F0" w:rsidRPr="004846F2">
        <w:rPr>
          <w:rFonts w:ascii="Arial" w:eastAsia="Arial" w:hAnsi="Arial" w:cs="Arial"/>
        </w:rPr>
        <w:t>relatively under-represented</w:t>
      </w:r>
      <w:r w:rsidR="00833574" w:rsidRPr="004846F2">
        <w:rPr>
          <w:rFonts w:ascii="Arial" w:eastAsia="Arial" w:hAnsi="Arial" w:cs="Arial"/>
        </w:rPr>
        <w:t>.</w:t>
      </w:r>
      <w:r w:rsidR="00510A84" w:rsidRPr="004846F2">
        <w:rPr>
          <w:rFonts w:ascii="Arial" w:eastAsia="Arial" w:hAnsi="Arial" w:cs="Arial"/>
        </w:rPr>
        <w:t xml:space="preserve"> </w:t>
      </w:r>
      <w:r w:rsidR="00785015" w:rsidRPr="004846F2">
        <w:rPr>
          <w:rFonts w:ascii="Arial" w:eastAsia="Arial" w:hAnsi="Arial" w:cs="Arial"/>
        </w:rPr>
        <w:t>According to Morningstar</w:t>
      </w:r>
      <w:r w:rsidR="00452A0A" w:rsidRPr="004846F2">
        <w:rPr>
          <w:rFonts w:ascii="Arial" w:eastAsia="Arial" w:hAnsi="Arial" w:cs="Arial"/>
        </w:rPr>
        <w:t xml:space="preserve">, </w:t>
      </w:r>
      <w:r w:rsidR="00513A37" w:rsidRPr="004846F2">
        <w:rPr>
          <w:rFonts w:ascii="Arial" w:eastAsia="Arial" w:hAnsi="Arial" w:cs="Arial"/>
        </w:rPr>
        <w:t xml:space="preserve">active ETFs </w:t>
      </w:r>
      <w:r w:rsidR="00932239" w:rsidRPr="004846F2">
        <w:rPr>
          <w:rFonts w:ascii="Arial" w:eastAsia="Arial" w:hAnsi="Arial" w:cs="Arial"/>
        </w:rPr>
        <w:t xml:space="preserve">account for </w:t>
      </w:r>
      <w:r w:rsidR="001D5450" w:rsidRPr="004846F2">
        <w:rPr>
          <w:rFonts w:ascii="Arial" w:eastAsia="Arial" w:hAnsi="Arial" w:cs="Arial"/>
        </w:rPr>
        <w:t>8%</w:t>
      </w:r>
      <w:r w:rsidR="00E21D0B" w:rsidRPr="004846F2">
        <w:rPr>
          <w:rFonts w:ascii="Arial" w:eastAsia="Arial" w:hAnsi="Arial" w:cs="Arial"/>
        </w:rPr>
        <w:t xml:space="preserve"> of the overall US ETF market, </w:t>
      </w:r>
      <w:r w:rsidR="00E2114F" w:rsidRPr="004846F2">
        <w:rPr>
          <w:rFonts w:ascii="Arial" w:eastAsia="Arial" w:hAnsi="Arial" w:cs="Arial"/>
        </w:rPr>
        <w:t xml:space="preserve">while in Europe it stands at </w:t>
      </w:r>
      <w:r w:rsidR="004846F2">
        <w:rPr>
          <w:rFonts w:ascii="Arial" w:eastAsia="Arial" w:hAnsi="Arial" w:cs="Arial"/>
        </w:rPr>
        <w:t>3</w:t>
      </w:r>
      <w:r w:rsidR="00E2114F" w:rsidRPr="004846F2">
        <w:rPr>
          <w:rFonts w:ascii="Arial" w:eastAsia="Arial" w:hAnsi="Arial" w:cs="Arial"/>
        </w:rPr>
        <w:t>%</w:t>
      </w:r>
      <w:r w:rsidR="008F2611" w:rsidRPr="008F2611">
        <w:rPr>
          <w:rFonts w:ascii="Arial" w:eastAsia="Arial" w:hAnsi="Arial" w:cs="Arial"/>
          <w:vertAlign w:val="superscript"/>
        </w:rPr>
        <w:t>2</w:t>
      </w:r>
      <w:r w:rsidR="00E2114F" w:rsidRPr="004846F2">
        <w:rPr>
          <w:rFonts w:ascii="Arial" w:eastAsia="Arial" w:hAnsi="Arial" w:cs="Arial"/>
        </w:rPr>
        <w:t>.</w:t>
      </w:r>
    </w:p>
    <w:p w14:paraId="50B9A084" w14:textId="4088B521" w:rsidR="00FA306B" w:rsidRPr="004846F2" w:rsidRDefault="00510A84" w:rsidP="00FA306B">
      <w:pPr>
        <w:spacing w:line="360" w:lineRule="auto"/>
        <w:rPr>
          <w:rFonts w:ascii="Arial" w:eastAsia="Arial" w:hAnsi="Arial" w:cs="Arial"/>
        </w:rPr>
      </w:pPr>
      <w:r w:rsidRPr="004846F2">
        <w:rPr>
          <w:rFonts w:ascii="Arial" w:eastAsia="Arial" w:hAnsi="Arial" w:cs="Arial"/>
        </w:rPr>
        <w:t xml:space="preserve">However, </w:t>
      </w:r>
      <w:r w:rsidR="004D3EA0" w:rsidRPr="004846F2">
        <w:rPr>
          <w:rFonts w:ascii="Arial" w:eastAsia="Arial" w:hAnsi="Arial" w:cs="Arial"/>
        </w:rPr>
        <w:t>significan</w:t>
      </w:r>
      <w:r w:rsidR="00E731EA" w:rsidRPr="004846F2">
        <w:rPr>
          <w:rFonts w:ascii="Arial" w:eastAsia="Arial" w:hAnsi="Arial" w:cs="Arial"/>
        </w:rPr>
        <w:t>t change</w:t>
      </w:r>
      <w:r w:rsidR="0059388A" w:rsidRPr="004846F2">
        <w:rPr>
          <w:rFonts w:ascii="Arial" w:eastAsia="Arial" w:hAnsi="Arial" w:cs="Arial"/>
        </w:rPr>
        <w:t xml:space="preserve"> is</w:t>
      </w:r>
      <w:r w:rsidR="00E731EA" w:rsidRPr="004846F2">
        <w:rPr>
          <w:rFonts w:ascii="Arial" w:eastAsia="Arial" w:hAnsi="Arial" w:cs="Arial"/>
        </w:rPr>
        <w:t xml:space="preserve"> underway: </w:t>
      </w:r>
      <w:r w:rsidR="00012204" w:rsidRPr="004846F2">
        <w:rPr>
          <w:rFonts w:ascii="Arial" w:eastAsia="Arial" w:hAnsi="Arial" w:cs="Arial"/>
        </w:rPr>
        <w:t>the European active ETF market expand</w:t>
      </w:r>
      <w:r w:rsidR="00FA306B" w:rsidRPr="004846F2">
        <w:rPr>
          <w:rFonts w:ascii="Arial" w:eastAsia="Arial" w:hAnsi="Arial" w:cs="Arial"/>
        </w:rPr>
        <w:t>ed</w:t>
      </w:r>
      <w:r w:rsidR="00012204" w:rsidRPr="004846F2">
        <w:rPr>
          <w:rFonts w:ascii="Arial" w:eastAsia="Arial" w:hAnsi="Arial" w:cs="Arial"/>
        </w:rPr>
        <w:t xml:space="preserve"> sharply from </w:t>
      </w:r>
      <w:r w:rsidR="004846F2">
        <w:rPr>
          <w:rFonts w:ascii="Arial" w:eastAsia="Arial" w:hAnsi="Arial" w:cs="Arial"/>
        </w:rPr>
        <w:t>$38</w:t>
      </w:r>
      <w:r w:rsidR="00012204" w:rsidRPr="004846F2">
        <w:rPr>
          <w:rFonts w:ascii="Arial" w:eastAsia="Arial" w:hAnsi="Arial" w:cs="Arial"/>
        </w:rPr>
        <w:t xml:space="preserve">bn to </w:t>
      </w:r>
      <w:r w:rsidR="004846F2">
        <w:rPr>
          <w:rFonts w:ascii="Arial" w:eastAsia="Arial" w:hAnsi="Arial" w:cs="Arial"/>
        </w:rPr>
        <w:t>$64</w:t>
      </w:r>
      <w:r w:rsidR="00012204" w:rsidRPr="004846F2">
        <w:rPr>
          <w:rFonts w:ascii="Arial" w:eastAsia="Arial" w:hAnsi="Arial" w:cs="Arial"/>
        </w:rPr>
        <w:t>bn over the past year</w:t>
      </w:r>
      <w:r w:rsidR="008F2611" w:rsidRPr="008F2611">
        <w:rPr>
          <w:rFonts w:ascii="Arial" w:eastAsia="Arial" w:hAnsi="Arial" w:cs="Arial"/>
          <w:vertAlign w:val="superscript"/>
        </w:rPr>
        <w:t>3</w:t>
      </w:r>
      <w:r w:rsidR="00FA306B" w:rsidRPr="004846F2">
        <w:rPr>
          <w:rFonts w:ascii="Arial" w:eastAsia="Arial" w:hAnsi="Arial" w:cs="Arial"/>
        </w:rPr>
        <w:t>, as more investors discover their benefits.</w:t>
      </w:r>
    </w:p>
    <w:p w14:paraId="30F71D21" w14:textId="38EB4E32" w:rsidR="00244A27" w:rsidRPr="004846F2" w:rsidRDefault="00F14026" w:rsidP="009641BB">
      <w:pPr>
        <w:spacing w:line="360" w:lineRule="auto"/>
        <w:jc w:val="both"/>
        <w:rPr>
          <w:rFonts w:ascii="Arial" w:eastAsia="Arial" w:hAnsi="Arial" w:cs="Arial"/>
        </w:rPr>
      </w:pPr>
      <w:r w:rsidRPr="004846F2">
        <w:rPr>
          <w:rFonts w:ascii="Arial" w:eastAsia="Arial" w:hAnsi="Arial" w:cs="Arial"/>
        </w:rPr>
        <w:t>The survey</w:t>
      </w:r>
      <w:r w:rsidR="00867309" w:rsidRPr="004846F2">
        <w:rPr>
          <w:rFonts w:ascii="Arial" w:eastAsia="Arial" w:hAnsi="Arial" w:cs="Arial"/>
          <w:b/>
          <w:bCs/>
          <w:i/>
          <w:iCs/>
        </w:rPr>
        <w:t xml:space="preserve"> </w:t>
      </w:r>
      <w:r w:rsidR="002E6352" w:rsidRPr="004846F2">
        <w:rPr>
          <w:rFonts w:ascii="Arial" w:eastAsia="Arial" w:hAnsi="Arial" w:cs="Arial"/>
        </w:rPr>
        <w:t>of over 120 institutional investors and intermediary distributors across Europe and Asi</w:t>
      </w:r>
      <w:r w:rsidR="00867309" w:rsidRPr="004846F2">
        <w:rPr>
          <w:rFonts w:ascii="Arial" w:eastAsia="Arial" w:hAnsi="Arial" w:cs="Arial"/>
        </w:rPr>
        <w:t xml:space="preserve">a, in partnership with Crisil Coalition Greenwich, </w:t>
      </w:r>
      <w:r w:rsidR="00F776B7" w:rsidRPr="004846F2">
        <w:rPr>
          <w:rFonts w:ascii="Arial" w:eastAsia="Arial" w:hAnsi="Arial" w:cs="Arial"/>
        </w:rPr>
        <w:t>confirm</w:t>
      </w:r>
      <w:r w:rsidR="00B50454" w:rsidRPr="004846F2">
        <w:rPr>
          <w:rFonts w:ascii="Arial" w:eastAsia="Arial" w:hAnsi="Arial" w:cs="Arial"/>
        </w:rPr>
        <w:t>ed</w:t>
      </w:r>
      <w:r w:rsidR="00F776B7" w:rsidRPr="004846F2">
        <w:rPr>
          <w:rFonts w:ascii="Arial" w:eastAsia="Arial" w:hAnsi="Arial" w:cs="Arial"/>
        </w:rPr>
        <w:t xml:space="preserve"> </w:t>
      </w:r>
      <w:r w:rsidR="00B50454" w:rsidRPr="004846F2">
        <w:rPr>
          <w:rFonts w:ascii="Arial" w:eastAsia="Arial" w:hAnsi="Arial" w:cs="Arial"/>
        </w:rPr>
        <w:t>that</w:t>
      </w:r>
      <w:r w:rsidR="00581692" w:rsidRPr="004846F2">
        <w:rPr>
          <w:rFonts w:ascii="Arial" w:eastAsia="Arial" w:hAnsi="Arial" w:cs="Arial"/>
        </w:rPr>
        <w:t xml:space="preserve"> nearly a quarter of professional investors </w:t>
      </w:r>
      <w:r w:rsidR="00581692" w:rsidRPr="004846F2">
        <w:rPr>
          <w:rFonts w:ascii="Arial" w:eastAsia="Arial" w:hAnsi="Arial" w:cs="Arial"/>
          <w:b/>
          <w:bCs/>
        </w:rPr>
        <w:t>(24%)</w:t>
      </w:r>
      <w:r w:rsidR="00581692" w:rsidRPr="004846F2">
        <w:rPr>
          <w:rFonts w:ascii="Arial" w:eastAsia="Arial" w:hAnsi="Arial" w:cs="Arial"/>
        </w:rPr>
        <w:t xml:space="preserve"> are already utilising active ETFs. </w:t>
      </w:r>
    </w:p>
    <w:p w14:paraId="76078880" w14:textId="6BED6F69" w:rsidR="00E82B3B" w:rsidRPr="004846F2" w:rsidRDefault="00E82B3B" w:rsidP="009641BB">
      <w:pPr>
        <w:spacing w:line="360" w:lineRule="auto"/>
        <w:jc w:val="both"/>
        <w:rPr>
          <w:rFonts w:ascii="Arial" w:eastAsia="Yu Mincho" w:hAnsi="Arial" w:cs="Arial"/>
          <w:lang w:eastAsia="ja-JP"/>
        </w:rPr>
      </w:pPr>
      <w:r w:rsidRPr="004846F2">
        <w:rPr>
          <w:noProof/>
        </w:rPr>
        <w:drawing>
          <wp:inline distT="0" distB="0" distL="0" distR="0" wp14:anchorId="64CC6125" wp14:editId="59931262">
            <wp:extent cx="5814570" cy="2324100"/>
            <wp:effectExtent l="0" t="0" r="0" b="0"/>
            <wp:docPr id="678018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791" r="7734" b="36419"/>
                    <a:stretch/>
                  </pic:blipFill>
                  <pic:spPr bwMode="auto">
                    <a:xfrm>
                      <a:off x="0" y="0"/>
                      <a:ext cx="5825991" cy="2328665"/>
                    </a:xfrm>
                    <a:prstGeom prst="rect">
                      <a:avLst/>
                    </a:prstGeom>
                    <a:noFill/>
                    <a:ln>
                      <a:noFill/>
                    </a:ln>
                    <a:extLst>
                      <a:ext uri="{53640926-AAD7-44D8-BBD7-CCE9431645EC}">
                        <a14:shadowObscured xmlns:a14="http://schemas.microsoft.com/office/drawing/2010/main"/>
                      </a:ext>
                    </a:extLst>
                  </pic:spPr>
                </pic:pic>
              </a:graphicData>
            </a:graphic>
          </wp:inline>
        </w:drawing>
      </w:r>
    </w:p>
    <w:p w14:paraId="4ED090EE" w14:textId="0A2B35F0" w:rsidR="00BB53EA" w:rsidRPr="004846F2" w:rsidRDefault="0059388A" w:rsidP="002641B6">
      <w:pPr>
        <w:spacing w:line="360" w:lineRule="auto"/>
        <w:rPr>
          <w:rFonts w:ascii="Arial" w:eastAsia="Yu Mincho" w:hAnsi="Arial" w:cs="Arial"/>
          <w:lang w:eastAsia="ja-JP"/>
        </w:rPr>
      </w:pPr>
      <w:r w:rsidRPr="004846F2">
        <w:rPr>
          <w:rFonts w:ascii="Arial" w:eastAsia="Arial" w:hAnsi="Arial" w:cs="Arial"/>
        </w:rPr>
        <w:t>D</w:t>
      </w:r>
      <w:r w:rsidR="009641BB" w:rsidRPr="004846F2">
        <w:rPr>
          <w:rFonts w:ascii="Arial" w:eastAsia="Arial" w:hAnsi="Arial" w:cs="Arial"/>
        </w:rPr>
        <w:t xml:space="preserve">emand for active ETFs is expected to increase more rapidly than any other type of investment vehicle over the next 18 months, with </w:t>
      </w:r>
      <w:r w:rsidR="009641BB" w:rsidRPr="004846F2">
        <w:rPr>
          <w:rFonts w:ascii="Arial" w:eastAsia="Arial" w:hAnsi="Arial" w:cs="Arial"/>
          <w:b/>
          <w:bCs/>
        </w:rPr>
        <w:t>37%</w:t>
      </w:r>
      <w:r w:rsidR="009641BB" w:rsidRPr="004846F2">
        <w:rPr>
          <w:rFonts w:ascii="Arial" w:eastAsia="Arial" w:hAnsi="Arial" w:cs="Arial"/>
        </w:rPr>
        <w:t xml:space="preserve"> of investors surveyed anticipating an increase in their allocations. Intermediary investors show most interest, with </w:t>
      </w:r>
      <w:r w:rsidR="009641BB" w:rsidRPr="004846F2">
        <w:rPr>
          <w:rFonts w:ascii="Arial" w:eastAsia="Arial" w:hAnsi="Arial" w:cs="Arial"/>
          <w:b/>
          <w:bCs/>
        </w:rPr>
        <w:t>61%</w:t>
      </w:r>
      <w:r w:rsidR="009641BB" w:rsidRPr="004846F2">
        <w:rPr>
          <w:rFonts w:ascii="Arial" w:eastAsia="Arial" w:hAnsi="Arial" w:cs="Arial"/>
        </w:rPr>
        <w:t xml:space="preserve"> anticipating an increase in usage in their portfolios over the next 18 months.</w:t>
      </w:r>
    </w:p>
    <w:p w14:paraId="1F6F7127" w14:textId="69840DA8" w:rsidR="00D47AEB" w:rsidRPr="004846F2" w:rsidRDefault="00D47AEB" w:rsidP="002641B6">
      <w:pPr>
        <w:spacing w:line="360" w:lineRule="auto"/>
        <w:rPr>
          <w:rFonts w:ascii="Arial" w:eastAsia="Yu Mincho" w:hAnsi="Arial" w:cs="Arial"/>
          <w:lang w:eastAsia="ja-JP"/>
        </w:rPr>
      </w:pPr>
      <w:r w:rsidRPr="004846F2">
        <w:rPr>
          <w:noProof/>
        </w:rPr>
        <w:drawing>
          <wp:inline distT="0" distB="0" distL="0" distR="0" wp14:anchorId="760264CB" wp14:editId="53984F94">
            <wp:extent cx="5779432" cy="2080260"/>
            <wp:effectExtent l="0" t="0" r="0" b="0"/>
            <wp:docPr id="19239088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589" r="4810" b="41383"/>
                    <a:stretch/>
                  </pic:blipFill>
                  <pic:spPr bwMode="auto">
                    <a:xfrm>
                      <a:off x="0" y="0"/>
                      <a:ext cx="5787812" cy="2083276"/>
                    </a:xfrm>
                    <a:prstGeom prst="rect">
                      <a:avLst/>
                    </a:prstGeom>
                    <a:noFill/>
                    <a:ln>
                      <a:noFill/>
                    </a:ln>
                    <a:extLst>
                      <a:ext uri="{53640926-AAD7-44D8-BBD7-CCE9431645EC}">
                        <a14:shadowObscured xmlns:a14="http://schemas.microsoft.com/office/drawing/2010/main"/>
                      </a:ext>
                    </a:extLst>
                  </pic:spPr>
                </pic:pic>
              </a:graphicData>
            </a:graphic>
          </wp:inline>
        </w:drawing>
      </w:r>
    </w:p>
    <w:p w14:paraId="1172A47D" w14:textId="1F361C41" w:rsidR="002F5E94" w:rsidRPr="004846F2" w:rsidRDefault="00495C75" w:rsidP="00DC0903">
      <w:pPr>
        <w:pStyle w:val="NormalWeb"/>
        <w:spacing w:line="360" w:lineRule="auto"/>
        <w:rPr>
          <w:rFonts w:ascii="Arial" w:eastAsia="Arial" w:hAnsi="Arial" w:cs="Arial"/>
          <w:kern w:val="2"/>
          <w:sz w:val="22"/>
          <w:szCs w:val="22"/>
          <w14:ligatures w14:val="standardContextual"/>
        </w:rPr>
      </w:pPr>
      <w:r w:rsidRPr="004846F2">
        <w:rPr>
          <w:rFonts w:ascii="Arial" w:eastAsia="Arial" w:hAnsi="Arial" w:cs="Arial"/>
          <w:kern w:val="2"/>
          <w:sz w:val="22"/>
          <w:szCs w:val="22"/>
          <w14:ligatures w14:val="standardContextual"/>
        </w:rPr>
        <w:t>T</w:t>
      </w:r>
      <w:r w:rsidR="00D60785" w:rsidRPr="004846F2">
        <w:rPr>
          <w:rFonts w:ascii="Arial" w:eastAsia="Arial" w:hAnsi="Arial" w:cs="Arial"/>
          <w:kern w:val="2"/>
          <w:sz w:val="22"/>
          <w:szCs w:val="22"/>
          <w14:ligatures w14:val="standardContextual"/>
        </w:rPr>
        <w:t xml:space="preserve">op reasons for using active ETFs include to </w:t>
      </w:r>
      <w:r w:rsidR="00B3531B" w:rsidRPr="004846F2">
        <w:rPr>
          <w:rFonts w:ascii="Arial" w:eastAsia="Arial" w:hAnsi="Arial" w:cs="Arial"/>
          <w:kern w:val="2"/>
          <w:sz w:val="22"/>
          <w:szCs w:val="22"/>
          <w14:ligatures w14:val="standardContextual"/>
        </w:rPr>
        <w:t xml:space="preserve">reduce costs, </w:t>
      </w:r>
      <w:r w:rsidR="00D60785" w:rsidRPr="004846F2">
        <w:rPr>
          <w:rFonts w:ascii="Arial" w:eastAsia="Arial" w:hAnsi="Arial" w:cs="Arial"/>
          <w:kern w:val="2"/>
          <w:sz w:val="22"/>
          <w:szCs w:val="22"/>
          <w14:ligatures w14:val="standardContextual"/>
        </w:rPr>
        <w:t xml:space="preserve">to </w:t>
      </w:r>
      <w:r w:rsidR="00B3531B" w:rsidRPr="004846F2">
        <w:rPr>
          <w:rFonts w:ascii="Arial" w:eastAsia="Arial" w:hAnsi="Arial" w:cs="Arial"/>
          <w:kern w:val="2"/>
          <w:sz w:val="22"/>
          <w:szCs w:val="22"/>
          <w14:ligatures w14:val="standardContextual"/>
        </w:rPr>
        <w:t xml:space="preserve">generate alpha, and </w:t>
      </w:r>
      <w:r w:rsidR="00D60785" w:rsidRPr="004846F2">
        <w:rPr>
          <w:rFonts w:ascii="Arial" w:eastAsia="Arial" w:hAnsi="Arial" w:cs="Arial"/>
          <w:kern w:val="2"/>
          <w:sz w:val="22"/>
          <w:szCs w:val="22"/>
          <w14:ligatures w14:val="standardContextual"/>
        </w:rPr>
        <w:t xml:space="preserve">access to specialist areas. </w:t>
      </w:r>
    </w:p>
    <w:p w14:paraId="03835EB9" w14:textId="365D2764" w:rsidR="00D47AEB" w:rsidRPr="004846F2" w:rsidRDefault="005201A9" w:rsidP="00DC0903">
      <w:pPr>
        <w:pStyle w:val="NormalWeb"/>
        <w:spacing w:line="360" w:lineRule="auto"/>
        <w:rPr>
          <w:rFonts w:ascii="Arial" w:eastAsia="Yu Mincho" w:hAnsi="Arial" w:cs="Arial"/>
          <w:b/>
          <w:bCs/>
          <w:kern w:val="2"/>
          <w:sz w:val="22"/>
          <w:szCs w:val="22"/>
          <w:lang w:eastAsia="ja-JP"/>
          <w14:ligatures w14:val="standardContextual"/>
        </w:rPr>
      </w:pPr>
      <w:r w:rsidRPr="004846F2">
        <w:rPr>
          <w:noProof/>
        </w:rPr>
        <w:drawing>
          <wp:inline distT="0" distB="0" distL="0" distR="0" wp14:anchorId="65D72E51" wp14:editId="2A748829">
            <wp:extent cx="5737860" cy="2328534"/>
            <wp:effectExtent l="0" t="0" r="0" b="0"/>
            <wp:docPr id="816244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590" r="9594" b="37365"/>
                    <a:stretch/>
                  </pic:blipFill>
                  <pic:spPr bwMode="auto">
                    <a:xfrm>
                      <a:off x="0" y="0"/>
                      <a:ext cx="5748698" cy="2332932"/>
                    </a:xfrm>
                    <a:prstGeom prst="rect">
                      <a:avLst/>
                    </a:prstGeom>
                    <a:noFill/>
                    <a:ln>
                      <a:noFill/>
                    </a:ln>
                    <a:extLst>
                      <a:ext uri="{53640926-AAD7-44D8-BBD7-CCE9431645EC}">
                        <a14:shadowObscured xmlns:a14="http://schemas.microsoft.com/office/drawing/2010/main"/>
                      </a:ext>
                    </a:extLst>
                  </pic:spPr>
                </pic:pic>
              </a:graphicData>
            </a:graphic>
          </wp:inline>
        </w:drawing>
      </w:r>
    </w:p>
    <w:p w14:paraId="7488E024" w14:textId="5799936B" w:rsidR="00174071" w:rsidRPr="004846F2" w:rsidRDefault="005C28AA" w:rsidP="0025683E">
      <w:pPr>
        <w:pStyle w:val="NormalWeb"/>
        <w:spacing w:line="360" w:lineRule="auto"/>
        <w:rPr>
          <w:rFonts w:ascii="Arial" w:hAnsi="Arial" w:cs="Arial"/>
          <w:sz w:val="22"/>
          <w:szCs w:val="22"/>
        </w:rPr>
      </w:pPr>
      <w:r w:rsidRPr="004846F2">
        <w:rPr>
          <w:rFonts w:ascii="Arial" w:eastAsia="Arial" w:hAnsi="Arial" w:cs="Arial"/>
          <w:b/>
          <w:bCs/>
          <w:kern w:val="2"/>
          <w:sz w:val="22"/>
          <w:szCs w:val="22"/>
          <w14:ligatures w14:val="standardContextual"/>
        </w:rPr>
        <w:t>Alastair Baillie Strong</w:t>
      </w:r>
      <w:r w:rsidR="000F78A3" w:rsidRPr="004846F2">
        <w:rPr>
          <w:rFonts w:ascii="Arial" w:eastAsia="Arial" w:hAnsi="Arial" w:cs="Arial"/>
          <w:b/>
          <w:bCs/>
          <w:kern w:val="2"/>
          <w:sz w:val="22"/>
          <w:szCs w:val="22"/>
          <w14:ligatures w14:val="standardContextual"/>
        </w:rPr>
        <w:t>, Global</w:t>
      </w:r>
      <w:r w:rsidRPr="004846F2">
        <w:rPr>
          <w:rFonts w:ascii="Arial" w:eastAsia="Arial" w:hAnsi="Arial" w:cs="Arial"/>
          <w:b/>
          <w:bCs/>
          <w:kern w:val="2"/>
          <w:sz w:val="22"/>
          <w:szCs w:val="22"/>
          <w14:ligatures w14:val="standardContextual"/>
        </w:rPr>
        <w:t xml:space="preserve"> Head of ETFs at Fidelity International</w:t>
      </w:r>
      <w:r w:rsidRPr="004846F2">
        <w:rPr>
          <w:rFonts w:ascii="Arial" w:eastAsia="Arial" w:hAnsi="Arial" w:cs="Arial"/>
          <w:kern w:val="2"/>
          <w:sz w:val="22"/>
          <w:szCs w:val="22"/>
          <w14:ligatures w14:val="standardContextual"/>
        </w:rPr>
        <w:t xml:space="preserve"> comments: </w:t>
      </w:r>
      <w:r w:rsidR="00870FE8" w:rsidRPr="004846F2">
        <w:rPr>
          <w:rFonts w:ascii="Arial" w:eastAsia="Arial" w:hAnsi="Arial" w:cs="Arial"/>
          <w:kern w:val="2"/>
          <w:sz w:val="22"/>
          <w:szCs w:val="22"/>
          <w14:ligatures w14:val="standardContextual"/>
        </w:rPr>
        <w:t>“</w:t>
      </w:r>
      <w:r w:rsidR="009D28DD" w:rsidRPr="004846F2">
        <w:rPr>
          <w:rFonts w:ascii="Arial" w:eastAsia="Arial" w:hAnsi="Arial" w:cs="Arial"/>
          <w:kern w:val="2"/>
          <w:sz w:val="22"/>
          <w:szCs w:val="22"/>
          <w14:ligatures w14:val="standardContextual"/>
        </w:rPr>
        <w:t xml:space="preserve">The anticipated growth in investor allocation to active ETFs identified in our survey </w:t>
      </w:r>
      <w:r w:rsidR="008319BE" w:rsidRPr="004846F2">
        <w:rPr>
          <w:rFonts w:ascii="Arial" w:eastAsia="Arial" w:hAnsi="Arial" w:cs="Arial"/>
          <w:sz w:val="22"/>
          <w:szCs w:val="22"/>
        </w:rPr>
        <w:t>reflects the evolving preferences of investors</w:t>
      </w:r>
      <w:r w:rsidR="0013222D" w:rsidRPr="004846F2">
        <w:rPr>
          <w:rFonts w:ascii="Arial" w:eastAsia="Arial" w:hAnsi="Arial" w:cs="Arial"/>
          <w:kern w:val="2"/>
          <w:sz w:val="22"/>
          <w:szCs w:val="22"/>
          <w14:ligatures w14:val="standardContextual"/>
        </w:rPr>
        <w:t xml:space="preserve">. </w:t>
      </w:r>
      <w:r w:rsidR="009D2F4D" w:rsidRPr="004846F2">
        <w:rPr>
          <w:rFonts w:ascii="Arial" w:eastAsia="Arial" w:hAnsi="Arial" w:cs="Arial"/>
          <w:sz w:val="22"/>
          <w:szCs w:val="22"/>
        </w:rPr>
        <w:t>There is</w:t>
      </w:r>
      <w:r w:rsidR="00B21A39" w:rsidRPr="004846F2">
        <w:rPr>
          <w:rFonts w:ascii="Arial" w:eastAsia="Arial" w:hAnsi="Arial" w:cs="Arial"/>
          <w:sz w:val="22"/>
          <w:szCs w:val="22"/>
        </w:rPr>
        <w:t xml:space="preserve"> growing i</w:t>
      </w:r>
      <w:r w:rsidR="009D28DD" w:rsidRPr="004846F2">
        <w:rPr>
          <w:rFonts w:ascii="Arial" w:eastAsia="Arial" w:hAnsi="Arial" w:cs="Arial"/>
          <w:kern w:val="2"/>
          <w:sz w:val="22"/>
          <w:szCs w:val="22"/>
          <w14:ligatures w14:val="standardContextual"/>
        </w:rPr>
        <w:t xml:space="preserve">nvestor </w:t>
      </w:r>
      <w:r w:rsidR="00B21A39" w:rsidRPr="004846F2">
        <w:rPr>
          <w:rFonts w:ascii="Arial" w:eastAsia="Arial" w:hAnsi="Arial" w:cs="Arial"/>
          <w:sz w:val="22"/>
          <w:szCs w:val="22"/>
        </w:rPr>
        <w:t xml:space="preserve">awareness </w:t>
      </w:r>
      <w:r w:rsidR="00E634A5" w:rsidRPr="004846F2">
        <w:rPr>
          <w:rFonts w:ascii="Arial" w:eastAsia="Arial" w:hAnsi="Arial" w:cs="Arial"/>
          <w:kern w:val="2"/>
          <w:sz w:val="22"/>
          <w:szCs w:val="22"/>
          <w14:ligatures w14:val="standardContextual"/>
        </w:rPr>
        <w:t>of the</w:t>
      </w:r>
      <w:r w:rsidR="0013222D" w:rsidRPr="004846F2">
        <w:rPr>
          <w:rFonts w:ascii="Arial" w:eastAsia="Arial" w:hAnsi="Arial" w:cs="Arial"/>
          <w:kern w:val="2"/>
          <w:sz w:val="22"/>
          <w:szCs w:val="22"/>
          <w14:ligatures w14:val="standardContextual"/>
        </w:rPr>
        <w:t xml:space="preserve"> benefits of </w:t>
      </w:r>
      <w:r w:rsidR="009D28DD" w:rsidRPr="004846F2">
        <w:rPr>
          <w:rFonts w:ascii="Arial" w:eastAsia="Arial" w:hAnsi="Arial" w:cs="Arial"/>
          <w:kern w:val="2"/>
          <w:sz w:val="22"/>
          <w:szCs w:val="22"/>
          <w14:ligatures w14:val="standardContextual"/>
        </w:rPr>
        <w:t>a</w:t>
      </w:r>
      <w:r w:rsidR="00FA2D4A" w:rsidRPr="004846F2">
        <w:rPr>
          <w:rFonts w:ascii="Arial" w:eastAsia="Arial" w:hAnsi="Arial" w:cs="Arial"/>
          <w:kern w:val="2"/>
          <w:sz w:val="22"/>
          <w:szCs w:val="22"/>
          <w14:ligatures w14:val="standardContextual"/>
        </w:rPr>
        <w:t>ctive ETFs</w:t>
      </w:r>
      <w:r w:rsidR="0013222D" w:rsidRPr="004846F2">
        <w:rPr>
          <w:rFonts w:ascii="Arial" w:eastAsia="Arial" w:hAnsi="Arial" w:cs="Arial"/>
          <w:kern w:val="2"/>
          <w:sz w:val="22"/>
          <w:szCs w:val="22"/>
          <w14:ligatures w14:val="standardContextual"/>
        </w:rPr>
        <w:t>;</w:t>
      </w:r>
      <w:r w:rsidR="00FA2D4A" w:rsidRPr="004846F2">
        <w:rPr>
          <w:rFonts w:ascii="Arial" w:eastAsia="Arial" w:hAnsi="Arial" w:cs="Arial"/>
          <w:kern w:val="2"/>
          <w:sz w:val="22"/>
          <w:szCs w:val="22"/>
          <w14:ligatures w14:val="standardContextual"/>
        </w:rPr>
        <w:t xml:space="preserve"> combin</w:t>
      </w:r>
      <w:r w:rsidR="0013222D" w:rsidRPr="004846F2">
        <w:rPr>
          <w:rFonts w:ascii="Arial" w:eastAsia="Arial" w:hAnsi="Arial" w:cs="Arial"/>
          <w:kern w:val="2"/>
          <w:sz w:val="22"/>
          <w:szCs w:val="22"/>
          <w14:ligatures w14:val="standardContextual"/>
        </w:rPr>
        <w:t>ing</w:t>
      </w:r>
      <w:r w:rsidR="00FA2D4A" w:rsidRPr="004846F2">
        <w:rPr>
          <w:rFonts w:ascii="Arial" w:eastAsia="Arial" w:hAnsi="Arial" w:cs="Arial"/>
          <w:kern w:val="2"/>
          <w:sz w:val="22"/>
          <w:szCs w:val="22"/>
          <w14:ligatures w14:val="standardContextual"/>
        </w:rPr>
        <w:t xml:space="preserve"> the advantages of traditional active funds: flexibility, potential for outperformance; and those of ETFs: low</w:t>
      </w:r>
      <w:r w:rsidR="00C31DF0" w:rsidRPr="004846F2">
        <w:rPr>
          <w:rFonts w:ascii="Arial" w:eastAsia="Arial" w:hAnsi="Arial" w:cs="Arial"/>
          <w:kern w:val="2"/>
          <w:sz w:val="22"/>
          <w:szCs w:val="22"/>
          <w14:ligatures w14:val="standardContextual"/>
        </w:rPr>
        <w:t>er</w:t>
      </w:r>
      <w:r w:rsidR="00FA2D4A" w:rsidRPr="004846F2">
        <w:rPr>
          <w:rFonts w:ascii="Arial" w:eastAsia="Arial" w:hAnsi="Arial" w:cs="Arial"/>
          <w:kern w:val="2"/>
          <w:sz w:val="22"/>
          <w:szCs w:val="22"/>
          <w14:ligatures w14:val="standardContextual"/>
        </w:rPr>
        <w:t xml:space="preserve"> costs, transparency and ease of access. </w:t>
      </w:r>
      <w:r w:rsidR="00174071" w:rsidRPr="004846F2">
        <w:rPr>
          <w:rFonts w:ascii="Arial" w:hAnsi="Arial" w:cs="Arial"/>
          <w:color w:val="20242B"/>
          <w:sz w:val="22"/>
          <w:szCs w:val="22"/>
          <w:shd w:val="clear" w:color="auto" w:fill="FFFFFF"/>
        </w:rPr>
        <w:t xml:space="preserve">PWC expects the global ETF market to grow to $20tn in assets under management by 2030, a 17% compound average </w:t>
      </w:r>
      <w:r w:rsidR="00174071" w:rsidRPr="004846F2">
        <w:rPr>
          <w:rFonts w:ascii="Arial" w:hAnsi="Arial" w:cs="Arial"/>
          <w:sz w:val="22"/>
          <w:szCs w:val="22"/>
        </w:rPr>
        <w:t>growth rate</w:t>
      </w:r>
      <w:r w:rsidR="008F2611" w:rsidRPr="008F2611">
        <w:rPr>
          <w:rFonts w:ascii="Arial" w:hAnsi="Arial" w:cs="Arial"/>
          <w:sz w:val="22"/>
          <w:szCs w:val="22"/>
          <w:vertAlign w:val="superscript"/>
        </w:rPr>
        <w:t>4</w:t>
      </w:r>
      <w:r w:rsidR="00174071" w:rsidRPr="004846F2">
        <w:rPr>
          <w:rFonts w:ascii="Arial" w:hAnsi="Arial" w:cs="Arial"/>
          <w:sz w:val="22"/>
          <w:szCs w:val="22"/>
        </w:rPr>
        <w:t>, and we anticipate that active ETFs’ will grow even faster, increasing their share as more investors discover their benefits.</w:t>
      </w:r>
    </w:p>
    <w:p w14:paraId="2B1BBEC0" w14:textId="68AC16D7" w:rsidR="00941173" w:rsidRPr="004846F2" w:rsidRDefault="00664E95" w:rsidP="002641B6">
      <w:pPr>
        <w:pStyle w:val="NormalWeb"/>
        <w:spacing w:line="360" w:lineRule="auto"/>
        <w:rPr>
          <w:rFonts w:ascii="Arial" w:hAnsi="Arial" w:cs="Arial"/>
          <w:sz w:val="22"/>
          <w:szCs w:val="22"/>
        </w:rPr>
      </w:pPr>
      <w:r w:rsidRPr="004846F2">
        <w:rPr>
          <w:rFonts w:ascii="Arial" w:hAnsi="Arial" w:cs="Arial"/>
          <w:sz w:val="22"/>
          <w:szCs w:val="22"/>
        </w:rPr>
        <w:t xml:space="preserve">“Our active ETF business </w:t>
      </w:r>
      <w:r w:rsidR="006C014A" w:rsidRPr="004846F2">
        <w:rPr>
          <w:rFonts w:ascii="Arial" w:hAnsi="Arial" w:cs="Arial"/>
          <w:sz w:val="22"/>
          <w:szCs w:val="22"/>
        </w:rPr>
        <w:t xml:space="preserve">is </w:t>
      </w:r>
      <w:r w:rsidRPr="004846F2">
        <w:rPr>
          <w:rFonts w:ascii="Arial" w:hAnsi="Arial" w:cs="Arial"/>
          <w:sz w:val="22"/>
          <w:szCs w:val="22"/>
        </w:rPr>
        <w:t xml:space="preserve">a key growth driver for Fidelity, and at the end of 2024, we were pleased to solidify our position as the second largest active ETF provider in Europe by </w:t>
      </w:r>
      <w:r w:rsidR="00196489">
        <w:rPr>
          <w:rFonts w:ascii="Arial" w:hAnsi="Arial" w:cs="Arial"/>
          <w:sz w:val="22"/>
          <w:szCs w:val="22"/>
        </w:rPr>
        <w:t>a</w:t>
      </w:r>
      <w:r w:rsidR="007412FD">
        <w:rPr>
          <w:rFonts w:ascii="Arial" w:hAnsi="Arial" w:cs="Arial"/>
          <w:sz w:val="22"/>
          <w:szCs w:val="22"/>
        </w:rPr>
        <w:t xml:space="preserve">ssets </w:t>
      </w:r>
      <w:r w:rsidR="00196489">
        <w:rPr>
          <w:rFonts w:ascii="Arial" w:hAnsi="Arial" w:cs="Arial"/>
          <w:sz w:val="22"/>
          <w:szCs w:val="22"/>
        </w:rPr>
        <w:t>u</w:t>
      </w:r>
      <w:r w:rsidR="007412FD">
        <w:rPr>
          <w:rFonts w:ascii="Arial" w:hAnsi="Arial" w:cs="Arial"/>
          <w:sz w:val="22"/>
          <w:szCs w:val="22"/>
        </w:rPr>
        <w:t xml:space="preserve">nder </w:t>
      </w:r>
      <w:r w:rsidR="00196489">
        <w:rPr>
          <w:rFonts w:ascii="Arial" w:hAnsi="Arial" w:cs="Arial"/>
          <w:sz w:val="22"/>
          <w:szCs w:val="22"/>
        </w:rPr>
        <w:t>m</w:t>
      </w:r>
      <w:r w:rsidR="007412FD">
        <w:rPr>
          <w:rFonts w:ascii="Arial" w:hAnsi="Arial" w:cs="Arial"/>
          <w:sz w:val="22"/>
          <w:szCs w:val="22"/>
        </w:rPr>
        <w:t>anagement</w:t>
      </w:r>
      <w:r w:rsidRPr="004846F2">
        <w:rPr>
          <w:rFonts w:ascii="Arial" w:hAnsi="Arial" w:cs="Arial"/>
          <w:sz w:val="22"/>
          <w:szCs w:val="22"/>
        </w:rPr>
        <w:t xml:space="preserve"> </w:t>
      </w:r>
      <w:r w:rsidR="00620636" w:rsidRPr="004846F2">
        <w:rPr>
          <w:rFonts w:ascii="Arial" w:hAnsi="Arial" w:cs="Arial"/>
          <w:sz w:val="22"/>
          <w:szCs w:val="22"/>
        </w:rPr>
        <w:t>($</w:t>
      </w:r>
      <w:r w:rsidR="0076279B">
        <w:rPr>
          <w:rFonts w:ascii="Arial" w:hAnsi="Arial" w:cs="Arial"/>
          <w:sz w:val="22"/>
          <w:szCs w:val="22"/>
        </w:rPr>
        <w:t>6.0</w:t>
      </w:r>
      <w:r w:rsidR="00620636" w:rsidRPr="004846F2">
        <w:rPr>
          <w:rFonts w:ascii="Arial" w:hAnsi="Arial" w:cs="Arial"/>
          <w:sz w:val="22"/>
          <w:szCs w:val="22"/>
        </w:rPr>
        <w:t>bn)</w:t>
      </w:r>
      <w:r w:rsidRPr="004846F2">
        <w:rPr>
          <w:rFonts w:ascii="Arial" w:hAnsi="Arial" w:cs="Arial"/>
          <w:sz w:val="22"/>
          <w:szCs w:val="22"/>
        </w:rPr>
        <w:t xml:space="preserve"> and net new flows</w:t>
      </w:r>
      <w:r w:rsidR="00881FCD" w:rsidRPr="004846F2">
        <w:rPr>
          <w:rFonts w:ascii="Arial" w:hAnsi="Arial" w:cs="Arial"/>
          <w:sz w:val="22"/>
          <w:szCs w:val="22"/>
        </w:rPr>
        <w:t xml:space="preserve"> ($2.</w:t>
      </w:r>
      <w:r w:rsidR="0076279B">
        <w:rPr>
          <w:rFonts w:ascii="Arial" w:hAnsi="Arial" w:cs="Arial"/>
          <w:sz w:val="22"/>
          <w:szCs w:val="22"/>
        </w:rPr>
        <w:t>2</w:t>
      </w:r>
      <w:r w:rsidR="00881FCD" w:rsidRPr="004846F2">
        <w:rPr>
          <w:rFonts w:ascii="Arial" w:hAnsi="Arial" w:cs="Arial"/>
          <w:sz w:val="22"/>
          <w:szCs w:val="22"/>
        </w:rPr>
        <w:t>bn)</w:t>
      </w:r>
      <w:r w:rsidR="008F2611" w:rsidRPr="008F2611">
        <w:rPr>
          <w:rFonts w:ascii="Arial" w:hAnsi="Arial" w:cs="Arial"/>
          <w:sz w:val="22"/>
          <w:szCs w:val="22"/>
          <w:vertAlign w:val="superscript"/>
        </w:rPr>
        <w:t>5</w:t>
      </w:r>
      <w:r w:rsidRPr="004846F2">
        <w:rPr>
          <w:rFonts w:ascii="Arial" w:hAnsi="Arial" w:cs="Arial"/>
          <w:sz w:val="22"/>
          <w:szCs w:val="22"/>
        </w:rPr>
        <w:t>.</w:t>
      </w:r>
    </w:p>
    <w:p w14:paraId="13ED491A" w14:textId="389B789A" w:rsidR="00EF6851" w:rsidRPr="00CE6420" w:rsidRDefault="00941173" w:rsidP="003F018B">
      <w:pPr>
        <w:spacing w:after="0" w:line="360" w:lineRule="auto"/>
        <w:rPr>
          <w:rFonts w:ascii="Arial" w:eastAsia="Times New Roman" w:hAnsi="Arial" w:cs="Arial"/>
          <w:kern w:val="0"/>
          <w14:ligatures w14:val="none"/>
        </w:rPr>
      </w:pPr>
      <w:r w:rsidRPr="004846F2">
        <w:rPr>
          <w:rFonts w:ascii="Arial" w:eastAsia="Times New Roman" w:hAnsi="Arial" w:cs="Arial"/>
          <w:kern w:val="0"/>
          <w14:ligatures w14:val="none"/>
        </w:rPr>
        <w:t xml:space="preserve">“Looking ahead, </w:t>
      </w:r>
      <w:r w:rsidR="00140B58" w:rsidRPr="004846F2">
        <w:rPr>
          <w:rFonts w:ascii="Arial" w:eastAsia="Times New Roman" w:hAnsi="Arial" w:cs="Arial"/>
          <w:kern w:val="0"/>
          <w14:ligatures w14:val="none"/>
        </w:rPr>
        <w:t>we face a backdrop of ongoing complexities in the market which can be characteri</w:t>
      </w:r>
      <w:r w:rsidR="00F62E57" w:rsidRPr="004846F2">
        <w:rPr>
          <w:rFonts w:ascii="Arial" w:eastAsia="Times New Roman" w:hAnsi="Arial" w:cs="Arial"/>
          <w:kern w:val="0"/>
          <w14:ligatures w14:val="none"/>
        </w:rPr>
        <w:t>s</w:t>
      </w:r>
      <w:r w:rsidR="00140B58" w:rsidRPr="004846F2">
        <w:rPr>
          <w:rFonts w:ascii="Arial" w:eastAsia="Times New Roman" w:hAnsi="Arial" w:cs="Arial"/>
          <w:kern w:val="0"/>
          <w14:ligatures w14:val="none"/>
        </w:rPr>
        <w:t>ed by high valuations and various uncertainty factors. Given this backdrop, ETF selection is more important than ever</w:t>
      </w:r>
      <w:r w:rsidR="00B75BF8" w:rsidRPr="004846F2">
        <w:rPr>
          <w:rFonts w:ascii="Arial" w:eastAsia="Times New Roman" w:hAnsi="Arial" w:cs="Arial"/>
          <w:kern w:val="0"/>
          <w14:ligatures w14:val="none"/>
        </w:rPr>
        <w:t xml:space="preserve">. </w:t>
      </w:r>
      <w:r w:rsidR="00025BE7" w:rsidRPr="004846F2">
        <w:rPr>
          <w:rFonts w:ascii="Arial" w:eastAsia="Times New Roman" w:hAnsi="Arial" w:cs="Arial"/>
          <w:kern w:val="0"/>
          <w14:ligatures w14:val="none"/>
        </w:rPr>
        <w:t xml:space="preserve">At Fidelity, </w:t>
      </w:r>
      <w:r w:rsidR="00FF3C51" w:rsidRPr="004846F2">
        <w:rPr>
          <w:rFonts w:ascii="Arial" w:eastAsia="Times New Roman" w:hAnsi="Arial" w:cs="Arial"/>
          <w:kern w:val="0"/>
          <w14:ligatures w14:val="none"/>
        </w:rPr>
        <w:t>o</w:t>
      </w:r>
      <w:r w:rsidR="00D85CF6" w:rsidRPr="004846F2">
        <w:rPr>
          <w:rFonts w:ascii="Arial" w:eastAsia="Times New Roman" w:hAnsi="Arial" w:cs="Arial"/>
          <w:kern w:val="0"/>
          <w14:ligatures w14:val="none"/>
        </w:rPr>
        <w:t xml:space="preserve">ur </w:t>
      </w:r>
      <w:r w:rsidR="00DC7AE4" w:rsidRPr="004846F2">
        <w:rPr>
          <w:rFonts w:ascii="Arial" w:eastAsia="Times New Roman" w:hAnsi="Arial" w:cs="Arial"/>
          <w:kern w:val="0"/>
          <w14:ligatures w14:val="none"/>
        </w:rPr>
        <w:t xml:space="preserve">active </w:t>
      </w:r>
      <w:r w:rsidR="00D85CF6" w:rsidRPr="004846F2">
        <w:rPr>
          <w:rFonts w:ascii="Arial" w:eastAsia="Times New Roman" w:hAnsi="Arial" w:cs="Arial"/>
          <w:kern w:val="0"/>
          <w14:ligatures w14:val="none"/>
        </w:rPr>
        <w:t>ETF strategy</w:t>
      </w:r>
      <w:r w:rsidR="00FF3C51" w:rsidRPr="004846F2">
        <w:rPr>
          <w:rFonts w:ascii="Arial" w:eastAsia="Times New Roman" w:hAnsi="Arial" w:cs="Arial"/>
          <w:kern w:val="0"/>
          <w14:ligatures w14:val="none"/>
        </w:rPr>
        <w:t xml:space="preserve"> </w:t>
      </w:r>
      <w:r w:rsidR="00D85CF6" w:rsidRPr="004846F2">
        <w:rPr>
          <w:rFonts w:ascii="Arial" w:eastAsia="Times New Roman" w:hAnsi="Arial" w:cs="Arial"/>
          <w:kern w:val="0"/>
          <w14:ligatures w14:val="none"/>
        </w:rPr>
        <w:t>is to support our clients as they seek to tackle the many idiosyncratic risks posed by today’s volatile global macroeconomic and geopolitical backdrops</w:t>
      </w:r>
      <w:r w:rsidR="008F6B79" w:rsidRPr="004846F2">
        <w:rPr>
          <w:rFonts w:ascii="Arial" w:eastAsia="Times New Roman" w:hAnsi="Arial" w:cs="Arial"/>
          <w:kern w:val="0"/>
          <w14:ligatures w14:val="none"/>
        </w:rPr>
        <w:t xml:space="preserve">, </w:t>
      </w:r>
      <w:r w:rsidR="009D2F4D" w:rsidRPr="004846F2">
        <w:rPr>
          <w:rFonts w:ascii="Arial" w:eastAsia="Times New Roman" w:hAnsi="Arial" w:cs="Arial"/>
          <w:kern w:val="0"/>
          <w14:ligatures w14:val="none"/>
        </w:rPr>
        <w:t>leveraging</w:t>
      </w:r>
      <w:r w:rsidR="008F6B79" w:rsidRPr="004846F2">
        <w:rPr>
          <w:rFonts w:ascii="Arial" w:eastAsia="Times New Roman" w:hAnsi="Arial" w:cs="Arial"/>
          <w:kern w:val="0"/>
          <w14:ligatures w14:val="none"/>
        </w:rPr>
        <w:t xml:space="preserve"> our </w:t>
      </w:r>
      <w:r w:rsidR="00DF30BB" w:rsidRPr="004846F2">
        <w:rPr>
          <w:rFonts w:ascii="Arial" w:eastAsia="Times New Roman" w:hAnsi="Arial" w:cs="Arial"/>
          <w:kern w:val="0"/>
          <w14:ligatures w14:val="none"/>
        </w:rPr>
        <w:t>long</w:t>
      </w:r>
      <w:r w:rsidR="009D2F4D" w:rsidRPr="004846F2">
        <w:rPr>
          <w:rFonts w:ascii="Arial" w:eastAsia="Times New Roman" w:hAnsi="Arial" w:cs="Arial"/>
          <w:kern w:val="0"/>
          <w14:ligatures w14:val="none"/>
        </w:rPr>
        <w:t>-</w:t>
      </w:r>
      <w:r w:rsidR="00DF30BB" w:rsidRPr="004846F2">
        <w:rPr>
          <w:rFonts w:ascii="Arial" w:eastAsia="Times New Roman" w:hAnsi="Arial" w:cs="Arial"/>
          <w:kern w:val="0"/>
          <w14:ligatures w14:val="none"/>
        </w:rPr>
        <w:t>standing</w:t>
      </w:r>
      <w:r w:rsidR="008F6B79" w:rsidRPr="004846F2">
        <w:rPr>
          <w:rFonts w:ascii="Arial" w:eastAsia="Times New Roman" w:hAnsi="Arial" w:cs="Arial"/>
          <w:kern w:val="0"/>
          <w14:ligatures w14:val="none"/>
        </w:rPr>
        <w:t xml:space="preserve"> active research </w:t>
      </w:r>
      <w:r w:rsidR="00360522" w:rsidRPr="004846F2">
        <w:rPr>
          <w:rFonts w:ascii="Arial" w:eastAsia="Times New Roman" w:hAnsi="Arial" w:cs="Arial"/>
          <w:kern w:val="0"/>
          <w14:ligatures w14:val="none"/>
        </w:rPr>
        <w:t>capabilities</w:t>
      </w:r>
      <w:r w:rsidR="008F6B79" w:rsidRPr="004846F2">
        <w:rPr>
          <w:rFonts w:ascii="Arial" w:eastAsia="Times New Roman" w:hAnsi="Arial" w:cs="Arial"/>
          <w:kern w:val="0"/>
          <w14:ligatures w14:val="none"/>
        </w:rPr>
        <w:t xml:space="preserve"> to deliver </w:t>
      </w:r>
      <w:r w:rsidR="00FB4208" w:rsidRPr="004846F2">
        <w:rPr>
          <w:rFonts w:ascii="Arial" w:eastAsia="Times New Roman" w:hAnsi="Arial" w:cs="Arial"/>
          <w:kern w:val="0"/>
          <w14:ligatures w14:val="none"/>
        </w:rPr>
        <w:t xml:space="preserve">enhanced </w:t>
      </w:r>
      <w:r w:rsidR="005A3CEE" w:rsidRPr="004846F2">
        <w:rPr>
          <w:rFonts w:ascii="Arial" w:eastAsia="Times New Roman" w:hAnsi="Arial" w:cs="Arial"/>
          <w:kern w:val="0"/>
          <w14:ligatures w14:val="none"/>
        </w:rPr>
        <w:t xml:space="preserve">diversification and </w:t>
      </w:r>
      <w:r w:rsidR="00FB4208" w:rsidRPr="004846F2">
        <w:rPr>
          <w:rFonts w:ascii="Arial" w:eastAsia="Times New Roman" w:hAnsi="Arial" w:cs="Arial"/>
          <w:kern w:val="0"/>
          <w14:ligatures w14:val="none"/>
        </w:rPr>
        <w:t>return</w:t>
      </w:r>
      <w:r w:rsidR="005A3CEE" w:rsidRPr="004846F2">
        <w:rPr>
          <w:rFonts w:ascii="Arial" w:eastAsia="Times New Roman" w:hAnsi="Arial" w:cs="Arial"/>
          <w:kern w:val="0"/>
          <w14:ligatures w14:val="none"/>
        </w:rPr>
        <w:t xml:space="preserve"> benefits</w:t>
      </w:r>
      <w:r w:rsidR="00B94841" w:rsidRPr="004846F2">
        <w:rPr>
          <w:rFonts w:ascii="Arial" w:eastAsia="Times New Roman" w:hAnsi="Arial" w:cs="Arial"/>
          <w:kern w:val="0"/>
          <w14:ligatures w14:val="none"/>
        </w:rPr>
        <w:t xml:space="preserve"> </w:t>
      </w:r>
      <w:r w:rsidR="001E036C" w:rsidRPr="004846F2">
        <w:rPr>
          <w:rFonts w:ascii="Arial" w:eastAsia="Times New Roman" w:hAnsi="Arial" w:cs="Arial"/>
          <w:kern w:val="0"/>
          <w14:ligatures w14:val="none"/>
        </w:rPr>
        <w:t>versus</w:t>
      </w:r>
      <w:r w:rsidR="00CA561A" w:rsidRPr="004846F2">
        <w:rPr>
          <w:rFonts w:ascii="Arial" w:eastAsia="Times New Roman" w:hAnsi="Arial" w:cs="Arial"/>
          <w:kern w:val="0"/>
          <w14:ligatures w14:val="none"/>
        </w:rPr>
        <w:t xml:space="preserve"> </w:t>
      </w:r>
      <w:r w:rsidR="00FB4208" w:rsidRPr="004846F2">
        <w:rPr>
          <w:rFonts w:ascii="Arial" w:eastAsia="Times New Roman" w:hAnsi="Arial" w:cs="Arial"/>
          <w:kern w:val="0"/>
          <w14:ligatures w14:val="none"/>
        </w:rPr>
        <w:t>passive ETFs</w:t>
      </w:r>
      <w:r w:rsidR="009D2F4D" w:rsidRPr="004846F2">
        <w:rPr>
          <w:rFonts w:ascii="Arial" w:eastAsia="Times New Roman" w:hAnsi="Arial" w:cs="Arial"/>
          <w:kern w:val="0"/>
          <w14:ligatures w14:val="none"/>
        </w:rPr>
        <w:t>.</w:t>
      </w:r>
      <w:r w:rsidR="004D4599" w:rsidRPr="004846F2">
        <w:rPr>
          <w:rFonts w:ascii="Arial" w:eastAsia="Times New Roman" w:hAnsi="Arial" w:cs="Arial"/>
          <w:kern w:val="0"/>
          <w14:ligatures w14:val="none"/>
        </w:rPr>
        <w:t>”</w:t>
      </w:r>
    </w:p>
    <w:p w14:paraId="33762756" w14:textId="77777777" w:rsidR="00B04F92" w:rsidRPr="00CE6420" w:rsidRDefault="00B04F92" w:rsidP="00DC0903">
      <w:pPr>
        <w:spacing w:after="0" w:line="360" w:lineRule="auto"/>
        <w:rPr>
          <w:rFonts w:ascii="Arial" w:eastAsia="Arial" w:hAnsi="Arial" w:cs="Arial"/>
        </w:rPr>
      </w:pPr>
    </w:p>
    <w:p w14:paraId="0DFFC699" w14:textId="77777777" w:rsidR="00B04F92" w:rsidRPr="000F36C2" w:rsidRDefault="00B04F92" w:rsidP="00B04F92">
      <w:pPr>
        <w:pBdr>
          <w:top w:val="single" w:sz="4" w:space="1" w:color="auto"/>
          <w:left w:val="single" w:sz="4" w:space="4" w:color="auto"/>
          <w:bottom w:val="single" w:sz="4" w:space="1" w:color="auto"/>
          <w:right w:val="single" w:sz="4" w:space="4" w:color="auto"/>
        </w:pBdr>
        <w:spacing w:after="0" w:line="360" w:lineRule="auto"/>
        <w:rPr>
          <w:rFonts w:ascii="Arial" w:hAnsi="Arial" w:cs="Arial"/>
          <w:b/>
          <w:bCs/>
          <w:color w:val="20242B"/>
          <w:shd w:val="clear" w:color="auto" w:fill="FFFFFF"/>
        </w:rPr>
      </w:pPr>
      <w:r w:rsidRPr="000F36C2">
        <w:rPr>
          <w:rFonts w:ascii="Arial" w:hAnsi="Arial" w:cs="Arial"/>
          <w:b/>
          <w:bCs/>
          <w:color w:val="20242B"/>
          <w:shd w:val="clear" w:color="auto" w:fill="FFFFFF"/>
        </w:rPr>
        <w:t>Important information:</w:t>
      </w:r>
    </w:p>
    <w:p w14:paraId="28728864" w14:textId="4D793886" w:rsidR="00B04F92" w:rsidRDefault="00B04F92" w:rsidP="00B04F92">
      <w:pPr>
        <w:pBdr>
          <w:top w:val="single" w:sz="4" w:space="1" w:color="auto"/>
          <w:left w:val="single" w:sz="4" w:space="4" w:color="auto"/>
          <w:bottom w:val="single" w:sz="4" w:space="1" w:color="auto"/>
          <w:right w:val="single" w:sz="4" w:space="4" w:color="auto"/>
        </w:pBdr>
        <w:spacing w:after="0" w:line="360" w:lineRule="auto"/>
        <w:rPr>
          <w:rFonts w:ascii="Arial" w:hAnsi="Arial" w:cs="Arial"/>
          <w:color w:val="20242B"/>
          <w:shd w:val="clear" w:color="auto" w:fill="FFFFFF"/>
        </w:rPr>
      </w:pPr>
      <w:r w:rsidRPr="000F36C2">
        <w:rPr>
          <w:rFonts w:ascii="Arial" w:hAnsi="Arial" w:cs="Arial"/>
          <w:color w:val="20242B"/>
          <w:shd w:val="clear" w:color="auto" w:fill="FFFFFF"/>
        </w:rPr>
        <w:t>This material is for Investment Professionals only and should not be relied upon by private investors</w:t>
      </w:r>
      <w:r>
        <w:rPr>
          <w:rFonts w:ascii="Arial" w:hAnsi="Arial" w:cs="Arial"/>
          <w:color w:val="20242B"/>
          <w:shd w:val="clear" w:color="auto" w:fill="FFFFFF"/>
        </w:rPr>
        <w:t>.</w:t>
      </w:r>
    </w:p>
    <w:p w14:paraId="4CE72FA1" w14:textId="77777777" w:rsidR="00B04F92" w:rsidRDefault="00B04F92" w:rsidP="00B04F92">
      <w:pPr>
        <w:pBdr>
          <w:top w:val="single" w:sz="4" w:space="1" w:color="auto"/>
          <w:left w:val="single" w:sz="4" w:space="4" w:color="auto"/>
          <w:bottom w:val="single" w:sz="4" w:space="1" w:color="auto"/>
          <w:right w:val="single" w:sz="4" w:space="4" w:color="auto"/>
        </w:pBdr>
        <w:spacing w:after="0" w:line="360" w:lineRule="auto"/>
        <w:rPr>
          <w:rFonts w:ascii="Arial" w:hAnsi="Arial" w:cs="Arial"/>
          <w:color w:val="20242B"/>
          <w:shd w:val="clear" w:color="auto" w:fill="FFFFFF"/>
        </w:rPr>
      </w:pPr>
    </w:p>
    <w:p w14:paraId="5C1B2261" w14:textId="77777777" w:rsidR="00B04F92" w:rsidRDefault="00B04F92" w:rsidP="00B04F92">
      <w:pPr>
        <w:pBdr>
          <w:top w:val="single" w:sz="4" w:space="1" w:color="auto"/>
          <w:left w:val="single" w:sz="4" w:space="4" w:color="auto"/>
          <w:bottom w:val="single" w:sz="4" w:space="1" w:color="auto"/>
          <w:right w:val="single" w:sz="4" w:space="4" w:color="auto"/>
        </w:pBdr>
        <w:spacing w:after="0" w:line="360" w:lineRule="auto"/>
        <w:rPr>
          <w:rFonts w:ascii="Arial" w:hAnsi="Arial" w:cs="Arial"/>
          <w:color w:val="20242B"/>
          <w:shd w:val="clear" w:color="auto" w:fill="FFFFFF"/>
        </w:rPr>
      </w:pPr>
      <w:r w:rsidRPr="000F36C2">
        <w:rPr>
          <w:rFonts w:ascii="Arial" w:hAnsi="Arial" w:cs="Arial"/>
          <w:color w:val="20242B"/>
          <w:shd w:val="clear" w:color="auto" w:fill="FFFFFF"/>
        </w:rPr>
        <w:t>The value of investments and the income from them can go down as well as up so you/the client may get back less than you/they invest.</w:t>
      </w:r>
    </w:p>
    <w:p w14:paraId="1802DCDA" w14:textId="77777777" w:rsidR="00B04F92" w:rsidRDefault="00B04F92" w:rsidP="00B04F92">
      <w:pPr>
        <w:pBdr>
          <w:top w:val="single" w:sz="4" w:space="1" w:color="auto"/>
          <w:left w:val="single" w:sz="4" w:space="4" w:color="auto"/>
          <w:bottom w:val="single" w:sz="4" w:space="1" w:color="auto"/>
          <w:right w:val="single" w:sz="4" w:space="4" w:color="auto"/>
        </w:pBdr>
        <w:spacing w:after="0" w:line="360" w:lineRule="auto"/>
        <w:rPr>
          <w:rFonts w:ascii="Arial" w:hAnsi="Arial" w:cs="Arial"/>
          <w:color w:val="20242B"/>
          <w:shd w:val="clear" w:color="auto" w:fill="FFFFFF"/>
        </w:rPr>
      </w:pPr>
    </w:p>
    <w:p w14:paraId="1BB680DB" w14:textId="23481A31" w:rsidR="00B04F92" w:rsidRPr="00073AD6" w:rsidRDefault="00B04F92" w:rsidP="00B04F92">
      <w:pPr>
        <w:pBdr>
          <w:top w:val="single" w:sz="4" w:space="1" w:color="auto"/>
          <w:left w:val="single" w:sz="4" w:space="4" w:color="auto"/>
          <w:bottom w:val="single" w:sz="4" w:space="1" w:color="auto"/>
          <w:right w:val="single" w:sz="4" w:space="4" w:color="auto"/>
        </w:pBdr>
        <w:spacing w:after="0" w:line="360" w:lineRule="auto"/>
        <w:rPr>
          <w:rFonts w:ascii="Arial" w:hAnsi="Arial" w:cs="Arial"/>
          <w:color w:val="20242B"/>
          <w:shd w:val="clear" w:color="auto" w:fill="FFFFFF"/>
        </w:rPr>
      </w:pPr>
      <w:r w:rsidRPr="000F36C2">
        <w:rPr>
          <w:rFonts w:ascii="Arial" w:hAnsi="Arial" w:cs="Arial"/>
          <w:color w:val="20242B"/>
          <w:shd w:val="clear" w:color="auto" w:fill="FFFFFF"/>
        </w:rPr>
        <w:t>Investors should note that the views expressed may no longer be current and may have already been acted upon.</w:t>
      </w:r>
    </w:p>
    <w:p w14:paraId="20C70461" w14:textId="77777777" w:rsidR="00B04F92" w:rsidRPr="00CE6420" w:rsidRDefault="00B04F92" w:rsidP="00DC0903">
      <w:pPr>
        <w:pStyle w:val="paragraph"/>
        <w:spacing w:before="0" w:beforeAutospacing="0" w:after="0" w:afterAutospacing="0" w:line="360" w:lineRule="auto"/>
        <w:jc w:val="both"/>
        <w:textAlignment w:val="baseline"/>
        <w:rPr>
          <w:rFonts w:ascii="Arial" w:eastAsia="Arial" w:hAnsi="Arial" w:cs="Arial"/>
          <w:kern w:val="2"/>
          <w:sz w:val="22"/>
          <w:szCs w:val="22"/>
          <w14:ligatures w14:val="standardContextual"/>
        </w:rPr>
      </w:pPr>
    </w:p>
    <w:p w14:paraId="6310D450" w14:textId="7195E0EF" w:rsidR="005D2419" w:rsidRDefault="005D2419" w:rsidP="005D2419">
      <w:pPr>
        <w:pStyle w:val="NormalWeb"/>
        <w:spacing w:line="360" w:lineRule="auto"/>
        <w:ind w:left="720"/>
        <w:jc w:val="center"/>
        <w:rPr>
          <w:rFonts w:ascii="Arial" w:eastAsia="Arial" w:hAnsi="Arial" w:cs="Arial"/>
          <w:kern w:val="2"/>
          <w:sz w:val="22"/>
          <w:szCs w:val="22"/>
          <w14:ligatures w14:val="standardContextual"/>
        </w:rPr>
      </w:pPr>
      <w:r w:rsidRPr="009137A6">
        <w:rPr>
          <w:rFonts w:ascii="Arial" w:eastAsia="Arial" w:hAnsi="Arial" w:cs="Arial"/>
          <w:kern w:val="2"/>
          <w:sz w:val="22"/>
          <w:szCs w:val="22"/>
          <w14:ligatures w14:val="standardContextual"/>
        </w:rPr>
        <w:t>-Ends-</w:t>
      </w:r>
    </w:p>
    <w:p w14:paraId="2DFBCAFD" w14:textId="1F5F4114" w:rsidR="00196489" w:rsidRPr="009137A6" w:rsidRDefault="00196489" w:rsidP="00196489">
      <w:pPr>
        <w:rPr>
          <w:rFonts w:ascii="Arial" w:eastAsia="Arial" w:hAnsi="Arial" w:cs="Arial"/>
        </w:rPr>
      </w:pPr>
      <w:r>
        <w:rPr>
          <w:rFonts w:ascii="Arial" w:hAnsi="Arial" w:cs="Arial"/>
          <w:b/>
          <w:bCs/>
          <w:sz w:val="18"/>
          <w:szCs w:val="18"/>
        </w:rPr>
        <w:t>Notes to editor</w:t>
      </w:r>
    </w:p>
    <w:p w14:paraId="5D58C9C4" w14:textId="4F4C3056" w:rsidR="008F2611" w:rsidRPr="004846F2" w:rsidRDefault="008F2611" w:rsidP="008F2611">
      <w:pPr>
        <w:pStyle w:val="FootnoteText"/>
      </w:pPr>
      <w:r w:rsidRPr="004846F2">
        <w:rPr>
          <w:rStyle w:val="FootnoteReference"/>
        </w:rPr>
        <w:footnoteRef/>
      </w:r>
      <w:r w:rsidRPr="004846F2">
        <w:t>Morningstar, 31/12/24</w:t>
      </w:r>
    </w:p>
    <w:p w14:paraId="324139EC" w14:textId="0A48A74A" w:rsidR="008F2611" w:rsidRPr="004846F2" w:rsidRDefault="008F2611" w:rsidP="008F2611">
      <w:pPr>
        <w:pStyle w:val="FootnoteText"/>
      </w:pPr>
      <w:r>
        <w:rPr>
          <w:rStyle w:val="FootnoteReference"/>
        </w:rPr>
        <w:t>2</w:t>
      </w:r>
      <w:r w:rsidRPr="004846F2">
        <w:t xml:space="preserve"> Morningstar, 31/12/24</w:t>
      </w:r>
    </w:p>
    <w:p w14:paraId="11D8DAB1" w14:textId="18133FC9" w:rsidR="008F2611" w:rsidRDefault="008F2611" w:rsidP="008F2611">
      <w:pPr>
        <w:pStyle w:val="FootnoteText"/>
      </w:pPr>
      <w:r>
        <w:rPr>
          <w:rStyle w:val="FootnoteReference"/>
        </w:rPr>
        <w:t>3</w:t>
      </w:r>
      <w:r w:rsidRPr="004846F2">
        <w:t xml:space="preserve"> Morningstar, 31/12/24</w:t>
      </w:r>
    </w:p>
    <w:p w14:paraId="5DCEAA03" w14:textId="0FD25511" w:rsidR="008F2611" w:rsidRDefault="008F2611" w:rsidP="008F2611">
      <w:pPr>
        <w:pStyle w:val="FootnoteText"/>
      </w:pPr>
      <w:r w:rsidRPr="008F2611">
        <w:rPr>
          <w:vertAlign w:val="superscript"/>
        </w:rPr>
        <w:t>4</w:t>
      </w:r>
      <w:r>
        <w:t xml:space="preserve"> </w:t>
      </w:r>
      <w:hyperlink r:id="rId14" w:history="1">
        <w:r>
          <w:rPr>
            <w:rStyle w:val="Hyperlink"/>
          </w:rPr>
          <w:t>ETFs 2026: The next big leap: PwC</w:t>
        </w:r>
      </w:hyperlink>
    </w:p>
    <w:p w14:paraId="6F36504C" w14:textId="520AC2F8" w:rsidR="008F2611" w:rsidRDefault="008F2611" w:rsidP="008F2611">
      <w:pPr>
        <w:rPr>
          <w:rFonts w:ascii="Arial" w:hAnsi="Arial" w:cs="Arial"/>
          <w:b/>
          <w:bCs/>
          <w:sz w:val="18"/>
          <w:szCs w:val="18"/>
        </w:rPr>
      </w:pPr>
      <w:r>
        <w:rPr>
          <w:rStyle w:val="FootnoteReference"/>
        </w:rPr>
        <w:t>5</w:t>
      </w:r>
      <w:r>
        <w:t xml:space="preserve"> </w:t>
      </w:r>
      <w:r>
        <w:rPr>
          <w:rStyle w:val="cf01"/>
        </w:rPr>
        <w:t>Source: Fidelity International, ETFBook, data as of 31/12/2024</w:t>
      </w:r>
    </w:p>
    <w:p w14:paraId="29E1EFEE" w14:textId="4E8569BD" w:rsidR="00AA18E9" w:rsidRPr="00E451F7" w:rsidRDefault="00AA18E9" w:rsidP="00AA18E9">
      <w:pPr>
        <w:rPr>
          <w:rFonts w:ascii="Arial" w:hAnsi="Arial" w:cs="Arial"/>
          <w:b/>
          <w:bCs/>
          <w:sz w:val="18"/>
          <w:szCs w:val="18"/>
        </w:rPr>
      </w:pPr>
      <w:r w:rsidRPr="00E451F7">
        <w:rPr>
          <w:rFonts w:ascii="Arial" w:hAnsi="Arial" w:cs="Arial"/>
          <w:b/>
          <w:bCs/>
          <w:sz w:val="18"/>
          <w:szCs w:val="18"/>
        </w:rPr>
        <w:t xml:space="preserve">About the </w:t>
      </w:r>
      <w:r w:rsidR="001B5972">
        <w:rPr>
          <w:rFonts w:ascii="Arial" w:hAnsi="Arial" w:cs="Arial"/>
          <w:b/>
          <w:bCs/>
          <w:sz w:val="18"/>
          <w:szCs w:val="18"/>
        </w:rPr>
        <w:t>study</w:t>
      </w:r>
      <w:r w:rsidRPr="00E451F7">
        <w:rPr>
          <w:rFonts w:ascii="Arial" w:hAnsi="Arial" w:cs="Arial"/>
          <w:b/>
          <w:bCs/>
          <w:sz w:val="18"/>
          <w:szCs w:val="18"/>
        </w:rPr>
        <w:t xml:space="preserve"> </w:t>
      </w:r>
    </w:p>
    <w:p w14:paraId="5BBE5068" w14:textId="119238D8" w:rsidR="00AA18E9" w:rsidRDefault="00AA18E9" w:rsidP="00AA18E9">
      <w:pPr>
        <w:spacing w:after="0" w:line="360" w:lineRule="auto"/>
        <w:rPr>
          <w:rFonts w:ascii="Arial" w:hAnsi="Arial" w:cs="Arial"/>
          <w:sz w:val="18"/>
          <w:szCs w:val="18"/>
        </w:rPr>
      </w:pPr>
      <w:r w:rsidRPr="00E451F7">
        <w:rPr>
          <w:rFonts w:ascii="Arial" w:hAnsi="Arial" w:cs="Arial"/>
          <w:sz w:val="18"/>
          <w:szCs w:val="18"/>
        </w:rPr>
        <w:t xml:space="preserve">Fidelity International engaged </w:t>
      </w:r>
      <w:r w:rsidR="001B5972">
        <w:rPr>
          <w:rFonts w:ascii="Arial" w:hAnsi="Arial" w:cs="Arial"/>
          <w:sz w:val="18"/>
          <w:szCs w:val="18"/>
        </w:rPr>
        <w:t xml:space="preserve">Crisil </w:t>
      </w:r>
      <w:r w:rsidRPr="00E451F7">
        <w:rPr>
          <w:rFonts w:ascii="Arial" w:hAnsi="Arial" w:cs="Arial"/>
          <w:sz w:val="18"/>
          <w:szCs w:val="18"/>
        </w:rPr>
        <w:t xml:space="preserve">Coalition Greenwich to conduct a study on </w:t>
      </w:r>
      <w:r>
        <w:rPr>
          <w:rFonts w:ascii="Arial" w:hAnsi="Arial" w:cs="Arial"/>
          <w:sz w:val="18"/>
          <w:szCs w:val="18"/>
        </w:rPr>
        <w:t xml:space="preserve">future investment trends </w:t>
      </w:r>
      <w:r w:rsidRPr="00E451F7">
        <w:rPr>
          <w:rFonts w:ascii="Arial" w:hAnsi="Arial" w:cs="Arial"/>
          <w:sz w:val="18"/>
          <w:szCs w:val="18"/>
        </w:rPr>
        <w:t>amongst 12</w:t>
      </w:r>
      <w:r w:rsidR="004625DC">
        <w:rPr>
          <w:rFonts w:ascii="Arial" w:hAnsi="Arial" w:cs="Arial"/>
          <w:sz w:val="18"/>
          <w:szCs w:val="18"/>
        </w:rPr>
        <w:t>5</w:t>
      </w:r>
      <w:r w:rsidRPr="00E451F7">
        <w:rPr>
          <w:rFonts w:ascii="Arial" w:hAnsi="Arial" w:cs="Arial"/>
          <w:sz w:val="18"/>
          <w:szCs w:val="18"/>
        </w:rPr>
        <w:t xml:space="preserve"> institutional investors and intermediary distributors in selected countries in Europe and Asia. The research was conducted in </w:t>
      </w:r>
      <w:r w:rsidR="004625DC">
        <w:rPr>
          <w:rFonts w:ascii="Arial" w:hAnsi="Arial" w:cs="Arial"/>
          <w:sz w:val="18"/>
          <w:szCs w:val="18"/>
        </w:rPr>
        <w:t>October</w:t>
      </w:r>
      <w:r w:rsidRPr="00E451F7">
        <w:rPr>
          <w:rFonts w:ascii="Arial" w:hAnsi="Arial" w:cs="Arial"/>
          <w:sz w:val="18"/>
          <w:szCs w:val="18"/>
        </w:rPr>
        <w:t xml:space="preserve"> and </w:t>
      </w:r>
      <w:r w:rsidR="004625DC">
        <w:rPr>
          <w:rFonts w:ascii="Arial" w:hAnsi="Arial" w:cs="Arial"/>
          <w:sz w:val="18"/>
          <w:szCs w:val="18"/>
        </w:rPr>
        <w:t>November</w:t>
      </w:r>
      <w:r w:rsidRPr="00E451F7">
        <w:rPr>
          <w:rFonts w:ascii="Arial" w:hAnsi="Arial" w:cs="Arial"/>
          <w:sz w:val="18"/>
          <w:szCs w:val="18"/>
        </w:rPr>
        <w:t xml:space="preserve"> 202</w:t>
      </w:r>
      <w:r w:rsidR="004625DC">
        <w:rPr>
          <w:rFonts w:ascii="Arial" w:hAnsi="Arial" w:cs="Arial"/>
          <w:sz w:val="18"/>
          <w:szCs w:val="18"/>
        </w:rPr>
        <w:t>4</w:t>
      </w:r>
      <w:r w:rsidRPr="00E451F7">
        <w:rPr>
          <w:rFonts w:ascii="Arial" w:hAnsi="Arial" w:cs="Arial"/>
          <w:sz w:val="18"/>
          <w:szCs w:val="18"/>
        </w:rPr>
        <w:t>.</w:t>
      </w:r>
    </w:p>
    <w:p w14:paraId="54D427DC" w14:textId="77777777" w:rsidR="00B57C8C" w:rsidRDefault="00B57C8C" w:rsidP="00B57C8C">
      <w:pPr>
        <w:spacing w:after="0" w:line="360" w:lineRule="auto"/>
        <w:rPr>
          <w:rFonts w:ascii="Arial" w:hAnsi="Arial" w:cs="Arial"/>
          <w:sz w:val="18"/>
          <w:szCs w:val="18"/>
        </w:rPr>
      </w:pPr>
    </w:p>
    <w:p w14:paraId="051CD358" w14:textId="77777777" w:rsidR="002A3207" w:rsidRDefault="002A3207" w:rsidP="002A3207">
      <w:pPr>
        <w:snapToGrid w:val="0"/>
        <w:spacing w:after="0" w:line="360" w:lineRule="auto"/>
        <w:rPr>
          <w:rFonts w:ascii="Arial" w:hAnsi="Arial" w:cs="Arial"/>
          <w:sz w:val="18"/>
          <w:szCs w:val="18"/>
        </w:rPr>
      </w:pPr>
      <w:r>
        <w:rPr>
          <w:rFonts w:ascii="Arial" w:hAnsi="Arial" w:cs="Arial"/>
          <w:b/>
          <w:bCs/>
          <w:sz w:val="18"/>
          <w:szCs w:val="18"/>
        </w:rPr>
        <w:t>About Fidelity International</w:t>
      </w:r>
    </w:p>
    <w:p w14:paraId="3DE495D6" w14:textId="18239C40" w:rsidR="002A3207" w:rsidRDefault="002A3207" w:rsidP="002A3207">
      <w:pPr>
        <w:snapToGrid w:val="0"/>
        <w:spacing w:after="0" w:line="360" w:lineRule="auto"/>
        <w:rPr>
          <w:rFonts w:ascii="Arial" w:hAnsi="Arial" w:cs="Arial"/>
          <w:sz w:val="18"/>
          <w:szCs w:val="18"/>
        </w:rPr>
      </w:pPr>
      <w:r w:rsidRPr="007F22C7">
        <w:rPr>
          <w:rFonts w:ascii="Arial" w:hAnsi="Arial" w:cs="Arial"/>
          <w:sz w:val="18"/>
          <w:szCs w:val="18"/>
        </w:rPr>
        <w:t>Fidelity International offers investment solutions and services and retirement expertise to more than 2.</w:t>
      </w:r>
      <w:r>
        <w:rPr>
          <w:rFonts w:ascii="Arial" w:hAnsi="Arial" w:cs="Arial"/>
          <w:sz w:val="18"/>
          <w:szCs w:val="18"/>
        </w:rPr>
        <w:t>8</w:t>
      </w:r>
      <w:r w:rsidRPr="007F22C7">
        <w:rPr>
          <w:rFonts w:ascii="Arial" w:hAnsi="Arial" w:cs="Arial"/>
          <w:sz w:val="18"/>
          <w:szCs w:val="18"/>
        </w:rPr>
        <w:t xml:space="preserve"> million customers globally. As a privately held, purpose-driven company with a 50-year heritage, we think generationally and invest for the long term. Operating in more than 25 locations and with $</w:t>
      </w:r>
      <w:r w:rsidR="007412FD">
        <w:rPr>
          <w:rFonts w:ascii="Arial" w:hAnsi="Arial" w:cs="Arial"/>
          <w:sz w:val="18"/>
          <w:szCs w:val="18"/>
        </w:rPr>
        <w:t>893.2</w:t>
      </w:r>
      <w:r w:rsidRPr="007F22C7">
        <w:rPr>
          <w:rFonts w:ascii="Arial" w:hAnsi="Arial" w:cs="Arial"/>
          <w:sz w:val="18"/>
          <w:szCs w:val="18"/>
        </w:rPr>
        <w:t xml:space="preserve"> billion in total assets, our clients range from central banks, sovereign wealth funds, large corporates, financial institutions, insurers, and wealth managers, to private individuals.</w:t>
      </w:r>
    </w:p>
    <w:p w14:paraId="0554F56F" w14:textId="77777777" w:rsidR="002A3207" w:rsidRPr="007F22C7" w:rsidRDefault="002A3207" w:rsidP="002A3207">
      <w:pPr>
        <w:snapToGrid w:val="0"/>
        <w:spacing w:after="0" w:line="360" w:lineRule="auto"/>
        <w:rPr>
          <w:rFonts w:ascii="Arial" w:hAnsi="Arial" w:cs="Arial"/>
          <w:sz w:val="18"/>
          <w:szCs w:val="18"/>
        </w:rPr>
      </w:pPr>
    </w:p>
    <w:p w14:paraId="275849C4" w14:textId="17619808" w:rsidR="002A3207" w:rsidRDefault="002A3207" w:rsidP="002A3207">
      <w:pPr>
        <w:snapToGrid w:val="0"/>
        <w:spacing w:after="0" w:line="360" w:lineRule="auto"/>
        <w:rPr>
          <w:rFonts w:ascii="Arial" w:hAnsi="Arial" w:cs="Arial"/>
          <w:sz w:val="18"/>
          <w:szCs w:val="18"/>
        </w:rPr>
      </w:pPr>
      <w:r w:rsidRPr="007F22C7">
        <w:rPr>
          <w:rFonts w:ascii="Arial" w:hAnsi="Arial" w:cs="Arial"/>
          <w:sz w:val="18"/>
          <w:szCs w:val="18"/>
        </w:rPr>
        <w:t>Our Global Platform solutions business provides individuals, advisers and employers with access to world-class investment choices, third-party solutions, administration services and pension guidance. Together with our Investment Solutions &amp; Services business, we invest $6</w:t>
      </w:r>
      <w:r w:rsidR="00E509C6">
        <w:rPr>
          <w:rFonts w:ascii="Arial" w:hAnsi="Arial" w:cs="Arial"/>
          <w:sz w:val="18"/>
          <w:szCs w:val="18"/>
        </w:rPr>
        <w:t>25.5</w:t>
      </w:r>
      <w:r w:rsidRPr="007F22C7">
        <w:rPr>
          <w:rFonts w:ascii="Arial" w:hAnsi="Arial" w:cs="Arial"/>
          <w:sz w:val="18"/>
          <w:szCs w:val="18"/>
        </w:rPr>
        <w:t xml:space="preserve"> billion on behalf of our clients. By combining our asset management expertise with our solutions for workplace and personal investing, we work together to build better financial futures. Data as of 3</w:t>
      </w:r>
      <w:r w:rsidR="00E509C6">
        <w:rPr>
          <w:rFonts w:ascii="Arial" w:hAnsi="Arial" w:cs="Arial"/>
          <w:sz w:val="18"/>
          <w:szCs w:val="18"/>
        </w:rPr>
        <w:t>1</w:t>
      </w:r>
      <w:r w:rsidRPr="007F22C7">
        <w:rPr>
          <w:rFonts w:ascii="Arial" w:hAnsi="Arial" w:cs="Arial"/>
          <w:sz w:val="18"/>
          <w:szCs w:val="18"/>
        </w:rPr>
        <w:t xml:space="preserve"> </w:t>
      </w:r>
      <w:r w:rsidR="00E509C6">
        <w:rPr>
          <w:rFonts w:ascii="Arial" w:hAnsi="Arial" w:cs="Arial"/>
          <w:sz w:val="18"/>
          <w:szCs w:val="18"/>
        </w:rPr>
        <w:t>December</w:t>
      </w:r>
      <w:r w:rsidRPr="007F22C7">
        <w:rPr>
          <w:rFonts w:ascii="Arial" w:hAnsi="Arial" w:cs="Arial"/>
          <w:sz w:val="18"/>
          <w:szCs w:val="18"/>
        </w:rPr>
        <w:t xml:space="preserve"> 2024. Read more at fidelityinternational.com.</w:t>
      </w:r>
    </w:p>
    <w:p w14:paraId="01129EA7" w14:textId="77777777" w:rsidR="002A3207" w:rsidRDefault="002A3207" w:rsidP="002A3207">
      <w:pPr>
        <w:snapToGrid w:val="0"/>
        <w:spacing w:after="0" w:line="360" w:lineRule="auto"/>
        <w:rPr>
          <w:rFonts w:ascii="Arial" w:hAnsi="Arial" w:cs="Arial"/>
          <w:sz w:val="18"/>
          <w:szCs w:val="18"/>
        </w:rPr>
      </w:pPr>
    </w:p>
    <w:p w14:paraId="425D13DB" w14:textId="77777777" w:rsidR="002A3207" w:rsidRPr="000F36C2" w:rsidRDefault="002A3207" w:rsidP="002A3207">
      <w:pPr>
        <w:snapToGrid w:val="0"/>
        <w:spacing w:after="0" w:line="360" w:lineRule="auto"/>
        <w:rPr>
          <w:rFonts w:ascii="Arial" w:hAnsi="Arial" w:cs="Arial"/>
          <w:sz w:val="18"/>
          <w:szCs w:val="18"/>
        </w:rPr>
      </w:pPr>
      <w:r>
        <w:rPr>
          <w:rFonts w:ascii="Arial" w:hAnsi="Arial" w:cs="Arial"/>
          <w:sz w:val="18"/>
          <w:szCs w:val="18"/>
        </w:rPr>
        <w:t>T</w:t>
      </w:r>
      <w:r w:rsidRPr="000F36C2">
        <w:rPr>
          <w:rFonts w:ascii="Arial" w:hAnsi="Arial" w:cs="Arial"/>
          <w:sz w:val="18"/>
          <w:szCs w:val="18"/>
        </w:rPr>
        <w:t xml:space="preserve">his information must not be reproduced or circulated without prior permission. This information does not constitute investment advice unless specifically agreed in a formal communication.  Fidelity International refers to the group of companies which form the global investment management organisation that provides information on products and services in designated jurisdictions outside of North America. Unless otherwise stated all products and services are provided by Fidelity International, and all views expressed are those of Fidelity International. Fidelity, Fidelity International, the Fidelity International logo and F symbol are registered trademarks of FIL Limited. </w:t>
      </w:r>
    </w:p>
    <w:p w14:paraId="026F2F49" w14:textId="765666B3" w:rsidR="002A3207" w:rsidRDefault="002A3207" w:rsidP="002A3207">
      <w:pPr>
        <w:snapToGrid w:val="0"/>
        <w:spacing w:after="0" w:line="360" w:lineRule="auto"/>
        <w:rPr>
          <w:rFonts w:ascii="Arial" w:hAnsi="Arial" w:cs="Arial"/>
          <w:sz w:val="18"/>
          <w:szCs w:val="18"/>
        </w:rPr>
      </w:pPr>
      <w:r w:rsidRPr="000F36C2">
        <w:rPr>
          <w:rFonts w:ascii="Arial" w:hAnsi="Arial" w:cs="Arial"/>
          <w:sz w:val="18"/>
          <w:szCs w:val="18"/>
        </w:rPr>
        <w:t xml:space="preserve">Issued by FIL (Luxembourg) S.A., authorised and supervised by the CSSF (Commission de Surveillance du Secteur Financier). </w:t>
      </w:r>
    </w:p>
    <w:p w14:paraId="7E75C0A8" w14:textId="77777777" w:rsidR="002A3207" w:rsidRDefault="002A3207" w:rsidP="002A3207">
      <w:pPr>
        <w:snapToGrid w:val="0"/>
        <w:spacing w:after="0" w:line="360" w:lineRule="auto"/>
        <w:rPr>
          <w:rFonts w:ascii="Arial" w:hAnsi="Arial" w:cs="Arial"/>
          <w:sz w:val="18"/>
          <w:szCs w:val="18"/>
        </w:rPr>
      </w:pPr>
      <w:r w:rsidRPr="000F36C2">
        <w:rPr>
          <w:rFonts w:ascii="Arial" w:hAnsi="Arial" w:cs="Arial"/>
          <w:sz w:val="18"/>
          <w:szCs w:val="18"/>
        </w:rPr>
        <w:t>Issued by Financial Administration Services Limited, authorised and regulated by the Financial Conduct Authority.</w:t>
      </w:r>
    </w:p>
    <w:p w14:paraId="6467EEDF" w14:textId="4D337B8F" w:rsidR="00B34A11" w:rsidRPr="00BE47ED" w:rsidRDefault="00B34A11" w:rsidP="00B34A11">
      <w:pPr>
        <w:spacing w:after="0" w:line="360" w:lineRule="auto"/>
        <w:rPr>
          <w:rFonts w:ascii="Arial" w:hAnsi="Arial" w:cs="Arial"/>
          <w:b/>
          <w:bCs/>
          <w:sz w:val="18"/>
          <w:szCs w:val="18"/>
        </w:rPr>
      </w:pPr>
      <w:r w:rsidRPr="00BE47ED">
        <w:rPr>
          <w:rFonts w:ascii="Arial" w:hAnsi="Arial" w:cs="Arial"/>
          <w:b/>
          <w:bCs/>
          <w:sz w:val="18"/>
          <w:szCs w:val="18"/>
        </w:rPr>
        <w:tab/>
      </w:r>
    </w:p>
    <w:p w14:paraId="45EA332A" w14:textId="315CE655" w:rsidR="00B57C8C" w:rsidRPr="00B1208E" w:rsidRDefault="005228B4" w:rsidP="002641B6">
      <w:pPr>
        <w:spacing w:after="0" w:line="360" w:lineRule="auto"/>
      </w:pPr>
      <w:r w:rsidRPr="00B04F92">
        <w:rPr>
          <w:rFonts w:ascii="Arial" w:hAnsi="Arial" w:cs="Arial"/>
          <w:b/>
          <w:bCs/>
          <w:sz w:val="18"/>
          <w:szCs w:val="18"/>
        </w:rPr>
        <w:t>CC25/</w:t>
      </w:r>
      <w:r w:rsidR="002A3207" w:rsidRPr="00B04F92">
        <w:rPr>
          <w:rFonts w:ascii="Arial" w:hAnsi="Arial" w:cs="Arial"/>
          <w:b/>
          <w:bCs/>
          <w:sz w:val="18"/>
          <w:szCs w:val="18"/>
        </w:rPr>
        <w:t>14</w:t>
      </w:r>
    </w:p>
    <w:sectPr w:rsidR="00B57C8C" w:rsidRPr="00B1208E" w:rsidSect="002641B6">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9AE7C" w14:textId="77777777" w:rsidR="00E714C7" w:rsidRDefault="00E714C7" w:rsidP="00B57C8C">
      <w:pPr>
        <w:spacing w:after="0" w:line="240" w:lineRule="auto"/>
      </w:pPr>
      <w:r>
        <w:separator/>
      </w:r>
    </w:p>
  </w:endnote>
  <w:endnote w:type="continuationSeparator" w:id="0">
    <w:p w14:paraId="2AB997A9" w14:textId="77777777" w:rsidR="00E714C7" w:rsidRDefault="00E714C7" w:rsidP="00B57C8C">
      <w:pPr>
        <w:spacing w:after="0" w:line="240" w:lineRule="auto"/>
      </w:pPr>
      <w:r>
        <w:continuationSeparator/>
      </w:r>
    </w:p>
  </w:endnote>
  <w:endnote w:type="continuationNotice" w:id="1">
    <w:p w14:paraId="5AAF9BA9" w14:textId="77777777" w:rsidR="00E714C7" w:rsidRDefault="00E714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75E43" w14:textId="77777777" w:rsidR="00E714C7" w:rsidRDefault="00E714C7" w:rsidP="00B57C8C">
      <w:pPr>
        <w:spacing w:after="0" w:line="240" w:lineRule="auto"/>
      </w:pPr>
      <w:r>
        <w:separator/>
      </w:r>
    </w:p>
  </w:footnote>
  <w:footnote w:type="continuationSeparator" w:id="0">
    <w:p w14:paraId="18BC597E" w14:textId="77777777" w:rsidR="00E714C7" w:rsidRDefault="00E714C7" w:rsidP="00B57C8C">
      <w:pPr>
        <w:spacing w:after="0" w:line="240" w:lineRule="auto"/>
      </w:pPr>
      <w:r>
        <w:continuationSeparator/>
      </w:r>
    </w:p>
  </w:footnote>
  <w:footnote w:type="continuationNotice" w:id="1">
    <w:p w14:paraId="0804D6C0" w14:textId="77777777" w:rsidR="00E714C7" w:rsidRDefault="00E714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B67DC" w14:textId="0E54C0D3" w:rsidR="0059388A" w:rsidRDefault="0059388A">
    <w:pPr>
      <w:pStyle w:val="Header"/>
    </w:pPr>
    <w:r>
      <w:rPr>
        <w:noProof/>
      </w:rPr>
      <w:drawing>
        <wp:anchor distT="0" distB="0" distL="114300" distR="114300" simplePos="0" relativeHeight="251658240" behindDoc="0" locked="0" layoutInCell="1" allowOverlap="1" wp14:anchorId="64761845" wp14:editId="2AA25375">
          <wp:simplePos x="0" y="0"/>
          <wp:positionH relativeFrom="column">
            <wp:posOffset>-619125</wp:posOffset>
          </wp:positionH>
          <wp:positionV relativeFrom="paragraph">
            <wp:posOffset>-286385</wp:posOffset>
          </wp:positionV>
          <wp:extent cx="1450975" cy="467995"/>
          <wp:effectExtent l="0" t="0" r="0" b="8255"/>
          <wp:wrapSquare wrapText="bothSides"/>
          <wp:docPr id="1386144921" name="Picture 1386144921" descr="fidelity_international_rgb_fc1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delity_international_rgb_fc1x"/>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50975" cy="4679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B061D"/>
    <w:multiLevelType w:val="hybridMultilevel"/>
    <w:tmpl w:val="7EAA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EC7D15"/>
    <w:multiLevelType w:val="hybridMultilevel"/>
    <w:tmpl w:val="1A466890"/>
    <w:lvl w:ilvl="0" w:tplc="B5A2969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493979"/>
    <w:multiLevelType w:val="hybridMultilevel"/>
    <w:tmpl w:val="0FC42B0E"/>
    <w:lvl w:ilvl="0" w:tplc="9F6C98BC">
      <w:start w:val="2"/>
      <w:numFmt w:val="bullet"/>
      <w:lvlText w:val="-"/>
      <w:lvlJc w:val="left"/>
      <w:pPr>
        <w:ind w:left="644" w:hanging="360"/>
      </w:pPr>
      <w:rPr>
        <w:rFonts w:ascii="Calibri" w:eastAsia="DengXi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356654D"/>
    <w:multiLevelType w:val="hybridMultilevel"/>
    <w:tmpl w:val="1AE65080"/>
    <w:lvl w:ilvl="0" w:tplc="C0A8A7C8">
      <w:start w:val="1"/>
      <w:numFmt w:val="bullet"/>
      <w:lvlText w:val=""/>
      <w:lvlJc w:val="left"/>
      <w:pPr>
        <w:tabs>
          <w:tab w:val="num" w:pos="720"/>
        </w:tabs>
        <w:ind w:left="720" w:hanging="360"/>
      </w:pPr>
      <w:rPr>
        <w:rFonts w:ascii="Wingdings" w:hAnsi="Wingdings" w:hint="default"/>
      </w:rPr>
    </w:lvl>
    <w:lvl w:ilvl="1" w:tplc="482E8C06" w:tentative="1">
      <w:start w:val="1"/>
      <w:numFmt w:val="bullet"/>
      <w:lvlText w:val=""/>
      <w:lvlJc w:val="left"/>
      <w:pPr>
        <w:tabs>
          <w:tab w:val="num" w:pos="1440"/>
        </w:tabs>
        <w:ind w:left="1440" w:hanging="360"/>
      </w:pPr>
      <w:rPr>
        <w:rFonts w:ascii="Wingdings" w:hAnsi="Wingdings" w:hint="default"/>
      </w:rPr>
    </w:lvl>
    <w:lvl w:ilvl="2" w:tplc="3B42D9EE" w:tentative="1">
      <w:start w:val="1"/>
      <w:numFmt w:val="bullet"/>
      <w:lvlText w:val=""/>
      <w:lvlJc w:val="left"/>
      <w:pPr>
        <w:tabs>
          <w:tab w:val="num" w:pos="2160"/>
        </w:tabs>
        <w:ind w:left="2160" w:hanging="360"/>
      </w:pPr>
      <w:rPr>
        <w:rFonts w:ascii="Wingdings" w:hAnsi="Wingdings" w:hint="default"/>
      </w:rPr>
    </w:lvl>
    <w:lvl w:ilvl="3" w:tplc="38D6B97C" w:tentative="1">
      <w:start w:val="1"/>
      <w:numFmt w:val="bullet"/>
      <w:lvlText w:val=""/>
      <w:lvlJc w:val="left"/>
      <w:pPr>
        <w:tabs>
          <w:tab w:val="num" w:pos="2880"/>
        </w:tabs>
        <w:ind w:left="2880" w:hanging="360"/>
      </w:pPr>
      <w:rPr>
        <w:rFonts w:ascii="Wingdings" w:hAnsi="Wingdings" w:hint="default"/>
      </w:rPr>
    </w:lvl>
    <w:lvl w:ilvl="4" w:tplc="3AA09522" w:tentative="1">
      <w:start w:val="1"/>
      <w:numFmt w:val="bullet"/>
      <w:lvlText w:val=""/>
      <w:lvlJc w:val="left"/>
      <w:pPr>
        <w:tabs>
          <w:tab w:val="num" w:pos="3600"/>
        </w:tabs>
        <w:ind w:left="3600" w:hanging="360"/>
      </w:pPr>
      <w:rPr>
        <w:rFonts w:ascii="Wingdings" w:hAnsi="Wingdings" w:hint="default"/>
      </w:rPr>
    </w:lvl>
    <w:lvl w:ilvl="5" w:tplc="ACA83D02" w:tentative="1">
      <w:start w:val="1"/>
      <w:numFmt w:val="bullet"/>
      <w:lvlText w:val=""/>
      <w:lvlJc w:val="left"/>
      <w:pPr>
        <w:tabs>
          <w:tab w:val="num" w:pos="4320"/>
        </w:tabs>
        <w:ind w:left="4320" w:hanging="360"/>
      </w:pPr>
      <w:rPr>
        <w:rFonts w:ascii="Wingdings" w:hAnsi="Wingdings" w:hint="default"/>
      </w:rPr>
    </w:lvl>
    <w:lvl w:ilvl="6" w:tplc="F3129EE8" w:tentative="1">
      <w:start w:val="1"/>
      <w:numFmt w:val="bullet"/>
      <w:lvlText w:val=""/>
      <w:lvlJc w:val="left"/>
      <w:pPr>
        <w:tabs>
          <w:tab w:val="num" w:pos="5040"/>
        </w:tabs>
        <w:ind w:left="5040" w:hanging="360"/>
      </w:pPr>
      <w:rPr>
        <w:rFonts w:ascii="Wingdings" w:hAnsi="Wingdings" w:hint="default"/>
      </w:rPr>
    </w:lvl>
    <w:lvl w:ilvl="7" w:tplc="CA84C7A4" w:tentative="1">
      <w:start w:val="1"/>
      <w:numFmt w:val="bullet"/>
      <w:lvlText w:val=""/>
      <w:lvlJc w:val="left"/>
      <w:pPr>
        <w:tabs>
          <w:tab w:val="num" w:pos="5760"/>
        </w:tabs>
        <w:ind w:left="5760" w:hanging="360"/>
      </w:pPr>
      <w:rPr>
        <w:rFonts w:ascii="Wingdings" w:hAnsi="Wingdings" w:hint="default"/>
      </w:rPr>
    </w:lvl>
    <w:lvl w:ilvl="8" w:tplc="58AAF38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446AD8"/>
    <w:multiLevelType w:val="multilevel"/>
    <w:tmpl w:val="5F1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7768F4"/>
    <w:multiLevelType w:val="hybridMultilevel"/>
    <w:tmpl w:val="334C4BE4"/>
    <w:lvl w:ilvl="0" w:tplc="E494C71E">
      <w:start w:val="1"/>
      <w:numFmt w:val="bullet"/>
      <w:lvlText w:val=""/>
      <w:lvlJc w:val="left"/>
      <w:pPr>
        <w:tabs>
          <w:tab w:val="num" w:pos="720"/>
        </w:tabs>
        <w:ind w:left="720" w:hanging="360"/>
      </w:pPr>
      <w:rPr>
        <w:rFonts w:ascii="Wingdings" w:hAnsi="Wingdings" w:hint="default"/>
      </w:rPr>
    </w:lvl>
    <w:lvl w:ilvl="1" w:tplc="786671AA">
      <w:numFmt w:val="bullet"/>
      <w:lvlText w:val=""/>
      <w:lvlJc w:val="left"/>
      <w:pPr>
        <w:tabs>
          <w:tab w:val="num" w:pos="1440"/>
        </w:tabs>
        <w:ind w:left="1440" w:hanging="360"/>
      </w:pPr>
      <w:rPr>
        <w:rFonts w:ascii="Wingdings" w:hAnsi="Wingdings" w:hint="default"/>
      </w:rPr>
    </w:lvl>
    <w:lvl w:ilvl="2" w:tplc="1DC0A3BA" w:tentative="1">
      <w:start w:val="1"/>
      <w:numFmt w:val="bullet"/>
      <w:lvlText w:val=""/>
      <w:lvlJc w:val="left"/>
      <w:pPr>
        <w:tabs>
          <w:tab w:val="num" w:pos="2160"/>
        </w:tabs>
        <w:ind w:left="2160" w:hanging="360"/>
      </w:pPr>
      <w:rPr>
        <w:rFonts w:ascii="Wingdings" w:hAnsi="Wingdings" w:hint="default"/>
      </w:rPr>
    </w:lvl>
    <w:lvl w:ilvl="3" w:tplc="8FBE095A" w:tentative="1">
      <w:start w:val="1"/>
      <w:numFmt w:val="bullet"/>
      <w:lvlText w:val=""/>
      <w:lvlJc w:val="left"/>
      <w:pPr>
        <w:tabs>
          <w:tab w:val="num" w:pos="2880"/>
        </w:tabs>
        <w:ind w:left="2880" w:hanging="360"/>
      </w:pPr>
      <w:rPr>
        <w:rFonts w:ascii="Wingdings" w:hAnsi="Wingdings" w:hint="default"/>
      </w:rPr>
    </w:lvl>
    <w:lvl w:ilvl="4" w:tplc="01128EC0" w:tentative="1">
      <w:start w:val="1"/>
      <w:numFmt w:val="bullet"/>
      <w:lvlText w:val=""/>
      <w:lvlJc w:val="left"/>
      <w:pPr>
        <w:tabs>
          <w:tab w:val="num" w:pos="3600"/>
        </w:tabs>
        <w:ind w:left="3600" w:hanging="360"/>
      </w:pPr>
      <w:rPr>
        <w:rFonts w:ascii="Wingdings" w:hAnsi="Wingdings" w:hint="default"/>
      </w:rPr>
    </w:lvl>
    <w:lvl w:ilvl="5" w:tplc="01FEAB1E" w:tentative="1">
      <w:start w:val="1"/>
      <w:numFmt w:val="bullet"/>
      <w:lvlText w:val=""/>
      <w:lvlJc w:val="left"/>
      <w:pPr>
        <w:tabs>
          <w:tab w:val="num" w:pos="4320"/>
        </w:tabs>
        <w:ind w:left="4320" w:hanging="360"/>
      </w:pPr>
      <w:rPr>
        <w:rFonts w:ascii="Wingdings" w:hAnsi="Wingdings" w:hint="default"/>
      </w:rPr>
    </w:lvl>
    <w:lvl w:ilvl="6" w:tplc="4AA643C6" w:tentative="1">
      <w:start w:val="1"/>
      <w:numFmt w:val="bullet"/>
      <w:lvlText w:val=""/>
      <w:lvlJc w:val="left"/>
      <w:pPr>
        <w:tabs>
          <w:tab w:val="num" w:pos="5040"/>
        </w:tabs>
        <w:ind w:left="5040" w:hanging="360"/>
      </w:pPr>
      <w:rPr>
        <w:rFonts w:ascii="Wingdings" w:hAnsi="Wingdings" w:hint="default"/>
      </w:rPr>
    </w:lvl>
    <w:lvl w:ilvl="7" w:tplc="5770B6B4" w:tentative="1">
      <w:start w:val="1"/>
      <w:numFmt w:val="bullet"/>
      <w:lvlText w:val=""/>
      <w:lvlJc w:val="left"/>
      <w:pPr>
        <w:tabs>
          <w:tab w:val="num" w:pos="5760"/>
        </w:tabs>
        <w:ind w:left="5760" w:hanging="360"/>
      </w:pPr>
      <w:rPr>
        <w:rFonts w:ascii="Wingdings" w:hAnsi="Wingdings" w:hint="default"/>
      </w:rPr>
    </w:lvl>
    <w:lvl w:ilvl="8" w:tplc="CB30ACE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6B6707"/>
    <w:multiLevelType w:val="hybridMultilevel"/>
    <w:tmpl w:val="7B3C4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D07D47"/>
    <w:multiLevelType w:val="hybridMultilevel"/>
    <w:tmpl w:val="A04E6ADE"/>
    <w:lvl w:ilvl="0" w:tplc="65E0DBAA">
      <w:numFmt w:val="bullet"/>
      <w:lvlText w:val="-"/>
      <w:lvlJc w:val="left"/>
      <w:pPr>
        <w:ind w:left="720" w:hanging="360"/>
      </w:pPr>
      <w:rPr>
        <w:rFonts w:ascii="Arial" w:eastAsia="Arial" w:hAnsi="Arial" w:cs="Arial" w:hint="default"/>
        <w:b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6F1433"/>
    <w:multiLevelType w:val="multilevel"/>
    <w:tmpl w:val="29D08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5A32DB2"/>
    <w:multiLevelType w:val="hybridMultilevel"/>
    <w:tmpl w:val="A8C6589A"/>
    <w:lvl w:ilvl="0" w:tplc="E98C29C4">
      <w:numFmt w:val="bullet"/>
      <w:lvlText w:val="-"/>
      <w:lvlJc w:val="left"/>
      <w:pPr>
        <w:ind w:left="720" w:hanging="360"/>
      </w:pPr>
      <w:rPr>
        <w:rFonts w:ascii="Arial" w:eastAsia="Arial" w:hAnsi="Arial" w:cs="Arial" w:hint="default"/>
        <w:b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8664842">
    <w:abstractNumId w:val="3"/>
  </w:num>
  <w:num w:numId="2" w16cid:durableId="1656181880">
    <w:abstractNumId w:val="6"/>
  </w:num>
  <w:num w:numId="3" w16cid:durableId="1811750984">
    <w:abstractNumId w:val="1"/>
  </w:num>
  <w:num w:numId="4" w16cid:durableId="1603877020">
    <w:abstractNumId w:val="0"/>
  </w:num>
  <w:num w:numId="5" w16cid:durableId="1669746235">
    <w:abstractNumId w:val="5"/>
  </w:num>
  <w:num w:numId="6" w16cid:durableId="1299795328">
    <w:abstractNumId w:val="9"/>
  </w:num>
  <w:num w:numId="7" w16cid:durableId="1389183585">
    <w:abstractNumId w:val="7"/>
  </w:num>
  <w:num w:numId="8" w16cid:durableId="1860655227">
    <w:abstractNumId w:val="8"/>
  </w:num>
  <w:num w:numId="9" w16cid:durableId="1994412234">
    <w:abstractNumId w:val="4"/>
  </w:num>
  <w:num w:numId="10" w16cid:durableId="558981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08E"/>
    <w:rsid w:val="00001DAF"/>
    <w:rsid w:val="00003B7A"/>
    <w:rsid w:val="0000656F"/>
    <w:rsid w:val="00011497"/>
    <w:rsid w:val="00012204"/>
    <w:rsid w:val="000130B2"/>
    <w:rsid w:val="00013450"/>
    <w:rsid w:val="00013558"/>
    <w:rsid w:val="00013FC3"/>
    <w:rsid w:val="0001413A"/>
    <w:rsid w:val="00014CBE"/>
    <w:rsid w:val="00017A50"/>
    <w:rsid w:val="0002157E"/>
    <w:rsid w:val="00025BE7"/>
    <w:rsid w:val="00031E7B"/>
    <w:rsid w:val="000428F1"/>
    <w:rsid w:val="00042A5D"/>
    <w:rsid w:val="00043164"/>
    <w:rsid w:val="00043F8A"/>
    <w:rsid w:val="00047758"/>
    <w:rsid w:val="0005155A"/>
    <w:rsid w:val="000542ED"/>
    <w:rsid w:val="00057B1C"/>
    <w:rsid w:val="00060D5E"/>
    <w:rsid w:val="00062265"/>
    <w:rsid w:val="0006392B"/>
    <w:rsid w:val="000641E7"/>
    <w:rsid w:val="00067A7B"/>
    <w:rsid w:val="00071EE3"/>
    <w:rsid w:val="00072822"/>
    <w:rsid w:val="000746D3"/>
    <w:rsid w:val="0007741D"/>
    <w:rsid w:val="00080972"/>
    <w:rsid w:val="00082D86"/>
    <w:rsid w:val="00083302"/>
    <w:rsid w:val="00090117"/>
    <w:rsid w:val="00090179"/>
    <w:rsid w:val="00090249"/>
    <w:rsid w:val="00095185"/>
    <w:rsid w:val="00095E3D"/>
    <w:rsid w:val="000A1F9D"/>
    <w:rsid w:val="000A6596"/>
    <w:rsid w:val="000A6A4C"/>
    <w:rsid w:val="000A7049"/>
    <w:rsid w:val="000B2217"/>
    <w:rsid w:val="000B45A6"/>
    <w:rsid w:val="000B5AE1"/>
    <w:rsid w:val="000C203C"/>
    <w:rsid w:val="000C32CE"/>
    <w:rsid w:val="000C39DD"/>
    <w:rsid w:val="000C526F"/>
    <w:rsid w:val="000D1387"/>
    <w:rsid w:val="000D1DE9"/>
    <w:rsid w:val="000D345C"/>
    <w:rsid w:val="000D56FD"/>
    <w:rsid w:val="000D7F74"/>
    <w:rsid w:val="000E119F"/>
    <w:rsid w:val="000E2D6D"/>
    <w:rsid w:val="000F2868"/>
    <w:rsid w:val="000F630C"/>
    <w:rsid w:val="000F78A3"/>
    <w:rsid w:val="00100C51"/>
    <w:rsid w:val="001029D3"/>
    <w:rsid w:val="00104DD7"/>
    <w:rsid w:val="00106804"/>
    <w:rsid w:val="00106B62"/>
    <w:rsid w:val="00106F6C"/>
    <w:rsid w:val="001168FA"/>
    <w:rsid w:val="001176C0"/>
    <w:rsid w:val="0013082E"/>
    <w:rsid w:val="00130ABA"/>
    <w:rsid w:val="0013222D"/>
    <w:rsid w:val="0013242F"/>
    <w:rsid w:val="00132806"/>
    <w:rsid w:val="001347DA"/>
    <w:rsid w:val="001353E5"/>
    <w:rsid w:val="00137021"/>
    <w:rsid w:val="00140B58"/>
    <w:rsid w:val="00143191"/>
    <w:rsid w:val="00144AC8"/>
    <w:rsid w:val="00145734"/>
    <w:rsid w:val="001469D0"/>
    <w:rsid w:val="00147144"/>
    <w:rsid w:val="001505EF"/>
    <w:rsid w:val="00154FF5"/>
    <w:rsid w:val="001554E9"/>
    <w:rsid w:val="0015696B"/>
    <w:rsid w:val="00157CBA"/>
    <w:rsid w:val="001600EE"/>
    <w:rsid w:val="00161A37"/>
    <w:rsid w:val="001656DE"/>
    <w:rsid w:val="00166096"/>
    <w:rsid w:val="001713AF"/>
    <w:rsid w:val="00172342"/>
    <w:rsid w:val="00173F79"/>
    <w:rsid w:val="00174071"/>
    <w:rsid w:val="0017761E"/>
    <w:rsid w:val="001778BC"/>
    <w:rsid w:val="00181924"/>
    <w:rsid w:val="00183E6D"/>
    <w:rsid w:val="00184142"/>
    <w:rsid w:val="001872C6"/>
    <w:rsid w:val="0018739C"/>
    <w:rsid w:val="00193E0A"/>
    <w:rsid w:val="00194D41"/>
    <w:rsid w:val="00196489"/>
    <w:rsid w:val="001A01D7"/>
    <w:rsid w:val="001A055E"/>
    <w:rsid w:val="001A6BA8"/>
    <w:rsid w:val="001A6E15"/>
    <w:rsid w:val="001B2825"/>
    <w:rsid w:val="001B29E2"/>
    <w:rsid w:val="001B5972"/>
    <w:rsid w:val="001B7544"/>
    <w:rsid w:val="001C145B"/>
    <w:rsid w:val="001C1510"/>
    <w:rsid w:val="001C15D4"/>
    <w:rsid w:val="001C1668"/>
    <w:rsid w:val="001C5849"/>
    <w:rsid w:val="001D1D0A"/>
    <w:rsid w:val="001D2E51"/>
    <w:rsid w:val="001D5450"/>
    <w:rsid w:val="001E036C"/>
    <w:rsid w:val="001E2F45"/>
    <w:rsid w:val="001E3CE9"/>
    <w:rsid w:val="001F5A04"/>
    <w:rsid w:val="00200E21"/>
    <w:rsid w:val="0020437B"/>
    <w:rsid w:val="002059BF"/>
    <w:rsid w:val="0021144F"/>
    <w:rsid w:val="00213284"/>
    <w:rsid w:val="00216F03"/>
    <w:rsid w:val="00217A9B"/>
    <w:rsid w:val="002249EE"/>
    <w:rsid w:val="00231493"/>
    <w:rsid w:val="002320DE"/>
    <w:rsid w:val="00234B48"/>
    <w:rsid w:val="00234E0B"/>
    <w:rsid w:val="0023515C"/>
    <w:rsid w:val="00235715"/>
    <w:rsid w:val="00240AA3"/>
    <w:rsid w:val="00244A27"/>
    <w:rsid w:val="00252882"/>
    <w:rsid w:val="0025323A"/>
    <w:rsid w:val="002555CF"/>
    <w:rsid w:val="0025683E"/>
    <w:rsid w:val="00263FF0"/>
    <w:rsid w:val="002641B6"/>
    <w:rsid w:val="00265A83"/>
    <w:rsid w:val="00267C2D"/>
    <w:rsid w:val="0027054F"/>
    <w:rsid w:val="00273D86"/>
    <w:rsid w:val="00275E61"/>
    <w:rsid w:val="00283124"/>
    <w:rsid w:val="0028353A"/>
    <w:rsid w:val="00284666"/>
    <w:rsid w:val="00285802"/>
    <w:rsid w:val="00287F5F"/>
    <w:rsid w:val="00293D59"/>
    <w:rsid w:val="002940B5"/>
    <w:rsid w:val="002A3207"/>
    <w:rsid w:val="002B1E72"/>
    <w:rsid w:val="002B241B"/>
    <w:rsid w:val="002B3653"/>
    <w:rsid w:val="002B3A95"/>
    <w:rsid w:val="002B58C6"/>
    <w:rsid w:val="002B5A5F"/>
    <w:rsid w:val="002B5F77"/>
    <w:rsid w:val="002B6B97"/>
    <w:rsid w:val="002C1228"/>
    <w:rsid w:val="002C186A"/>
    <w:rsid w:val="002D02F2"/>
    <w:rsid w:val="002D0E6B"/>
    <w:rsid w:val="002D4F98"/>
    <w:rsid w:val="002E1834"/>
    <w:rsid w:val="002E2810"/>
    <w:rsid w:val="002E4B5E"/>
    <w:rsid w:val="002E6352"/>
    <w:rsid w:val="002E7E8A"/>
    <w:rsid w:val="002F02A1"/>
    <w:rsid w:val="002F38AD"/>
    <w:rsid w:val="002F472A"/>
    <w:rsid w:val="002F5E94"/>
    <w:rsid w:val="003155A7"/>
    <w:rsid w:val="00322876"/>
    <w:rsid w:val="003255AC"/>
    <w:rsid w:val="0032644D"/>
    <w:rsid w:val="00326C6C"/>
    <w:rsid w:val="003270A7"/>
    <w:rsid w:val="00332549"/>
    <w:rsid w:val="003325A7"/>
    <w:rsid w:val="003328C8"/>
    <w:rsid w:val="003353F1"/>
    <w:rsid w:val="003378B1"/>
    <w:rsid w:val="00337E51"/>
    <w:rsid w:val="003409CA"/>
    <w:rsid w:val="00340C94"/>
    <w:rsid w:val="003420B9"/>
    <w:rsid w:val="00342442"/>
    <w:rsid w:val="00342DC0"/>
    <w:rsid w:val="003434F0"/>
    <w:rsid w:val="003447B0"/>
    <w:rsid w:val="00345FE4"/>
    <w:rsid w:val="003462D7"/>
    <w:rsid w:val="00351AC2"/>
    <w:rsid w:val="00352D73"/>
    <w:rsid w:val="00355152"/>
    <w:rsid w:val="00360522"/>
    <w:rsid w:val="00372058"/>
    <w:rsid w:val="00372743"/>
    <w:rsid w:val="00375C1A"/>
    <w:rsid w:val="00377A8A"/>
    <w:rsid w:val="00381080"/>
    <w:rsid w:val="0038746B"/>
    <w:rsid w:val="0038789C"/>
    <w:rsid w:val="0039075E"/>
    <w:rsid w:val="00391808"/>
    <w:rsid w:val="003956C4"/>
    <w:rsid w:val="00395A24"/>
    <w:rsid w:val="00395F8F"/>
    <w:rsid w:val="0039642F"/>
    <w:rsid w:val="00396678"/>
    <w:rsid w:val="003A1784"/>
    <w:rsid w:val="003A294F"/>
    <w:rsid w:val="003A4EFA"/>
    <w:rsid w:val="003A5485"/>
    <w:rsid w:val="003A5918"/>
    <w:rsid w:val="003A7003"/>
    <w:rsid w:val="003B64B2"/>
    <w:rsid w:val="003B64DE"/>
    <w:rsid w:val="003B7A99"/>
    <w:rsid w:val="003B7FA0"/>
    <w:rsid w:val="003C230E"/>
    <w:rsid w:val="003C2D57"/>
    <w:rsid w:val="003C2D99"/>
    <w:rsid w:val="003C35D9"/>
    <w:rsid w:val="003C5977"/>
    <w:rsid w:val="003C5E75"/>
    <w:rsid w:val="003C6524"/>
    <w:rsid w:val="003C68A8"/>
    <w:rsid w:val="003C6B30"/>
    <w:rsid w:val="003D0747"/>
    <w:rsid w:val="003D34D9"/>
    <w:rsid w:val="003D3D2B"/>
    <w:rsid w:val="003D69CC"/>
    <w:rsid w:val="003E0C04"/>
    <w:rsid w:val="003E4124"/>
    <w:rsid w:val="003E6AA2"/>
    <w:rsid w:val="003E77FE"/>
    <w:rsid w:val="003F018B"/>
    <w:rsid w:val="003F0EF9"/>
    <w:rsid w:val="003F1212"/>
    <w:rsid w:val="003F2B5D"/>
    <w:rsid w:val="003F7958"/>
    <w:rsid w:val="00400AC2"/>
    <w:rsid w:val="00402333"/>
    <w:rsid w:val="0040341F"/>
    <w:rsid w:val="00405E09"/>
    <w:rsid w:val="0040621E"/>
    <w:rsid w:val="004120D5"/>
    <w:rsid w:val="00412A00"/>
    <w:rsid w:val="004172BA"/>
    <w:rsid w:val="00421B7F"/>
    <w:rsid w:val="00422465"/>
    <w:rsid w:val="00423A60"/>
    <w:rsid w:val="00424027"/>
    <w:rsid w:val="00430593"/>
    <w:rsid w:val="004319F2"/>
    <w:rsid w:val="00432846"/>
    <w:rsid w:val="00433468"/>
    <w:rsid w:val="00434BEF"/>
    <w:rsid w:val="00435ED7"/>
    <w:rsid w:val="00437879"/>
    <w:rsid w:val="004401D3"/>
    <w:rsid w:val="00440D5E"/>
    <w:rsid w:val="00442ACA"/>
    <w:rsid w:val="00447A78"/>
    <w:rsid w:val="00447B99"/>
    <w:rsid w:val="00451DDB"/>
    <w:rsid w:val="0045257A"/>
    <w:rsid w:val="00452A0A"/>
    <w:rsid w:val="00454D02"/>
    <w:rsid w:val="00457E08"/>
    <w:rsid w:val="0046003C"/>
    <w:rsid w:val="00460103"/>
    <w:rsid w:val="0046039C"/>
    <w:rsid w:val="004625DC"/>
    <w:rsid w:val="004629AE"/>
    <w:rsid w:val="0046335F"/>
    <w:rsid w:val="00464CFA"/>
    <w:rsid w:val="004723E6"/>
    <w:rsid w:val="004725E5"/>
    <w:rsid w:val="00476C57"/>
    <w:rsid w:val="004772BE"/>
    <w:rsid w:val="004810E0"/>
    <w:rsid w:val="00482B73"/>
    <w:rsid w:val="004846F2"/>
    <w:rsid w:val="00485898"/>
    <w:rsid w:val="0048592B"/>
    <w:rsid w:val="004866A2"/>
    <w:rsid w:val="004911DC"/>
    <w:rsid w:val="0049393F"/>
    <w:rsid w:val="00495C75"/>
    <w:rsid w:val="00495F49"/>
    <w:rsid w:val="004A2E63"/>
    <w:rsid w:val="004A3546"/>
    <w:rsid w:val="004A3BDE"/>
    <w:rsid w:val="004A78B2"/>
    <w:rsid w:val="004B1583"/>
    <w:rsid w:val="004B5B13"/>
    <w:rsid w:val="004B6BC5"/>
    <w:rsid w:val="004B7A32"/>
    <w:rsid w:val="004C02B9"/>
    <w:rsid w:val="004C2CE9"/>
    <w:rsid w:val="004C7D30"/>
    <w:rsid w:val="004D32ED"/>
    <w:rsid w:val="004D3902"/>
    <w:rsid w:val="004D3EA0"/>
    <w:rsid w:val="004D4599"/>
    <w:rsid w:val="004D48BA"/>
    <w:rsid w:val="004D5078"/>
    <w:rsid w:val="004D537B"/>
    <w:rsid w:val="004D57C4"/>
    <w:rsid w:val="004D5C5F"/>
    <w:rsid w:val="004D7EFC"/>
    <w:rsid w:val="004E079E"/>
    <w:rsid w:val="004E2A36"/>
    <w:rsid w:val="004E4D48"/>
    <w:rsid w:val="004E5ABB"/>
    <w:rsid w:val="004E6C65"/>
    <w:rsid w:val="004E7B08"/>
    <w:rsid w:val="004F0A58"/>
    <w:rsid w:val="004F0F1D"/>
    <w:rsid w:val="004F2F0F"/>
    <w:rsid w:val="00501378"/>
    <w:rsid w:val="005043E9"/>
    <w:rsid w:val="005045C2"/>
    <w:rsid w:val="00506375"/>
    <w:rsid w:val="00507E87"/>
    <w:rsid w:val="00510A84"/>
    <w:rsid w:val="00511344"/>
    <w:rsid w:val="00511608"/>
    <w:rsid w:val="00511B6D"/>
    <w:rsid w:val="00513A37"/>
    <w:rsid w:val="00516736"/>
    <w:rsid w:val="00517149"/>
    <w:rsid w:val="005201A9"/>
    <w:rsid w:val="005218BE"/>
    <w:rsid w:val="005228B4"/>
    <w:rsid w:val="00523E72"/>
    <w:rsid w:val="00525AB3"/>
    <w:rsid w:val="00525D47"/>
    <w:rsid w:val="00527560"/>
    <w:rsid w:val="00533D97"/>
    <w:rsid w:val="0053453D"/>
    <w:rsid w:val="005354C1"/>
    <w:rsid w:val="00535513"/>
    <w:rsid w:val="00541870"/>
    <w:rsid w:val="00542740"/>
    <w:rsid w:val="005438A1"/>
    <w:rsid w:val="00551971"/>
    <w:rsid w:val="005544ED"/>
    <w:rsid w:val="005565B0"/>
    <w:rsid w:val="00557CD1"/>
    <w:rsid w:val="00564C84"/>
    <w:rsid w:val="0056678C"/>
    <w:rsid w:val="00575210"/>
    <w:rsid w:val="00575C90"/>
    <w:rsid w:val="005806FF"/>
    <w:rsid w:val="00580B2C"/>
    <w:rsid w:val="00581692"/>
    <w:rsid w:val="00583903"/>
    <w:rsid w:val="005866DF"/>
    <w:rsid w:val="0059388A"/>
    <w:rsid w:val="0059718E"/>
    <w:rsid w:val="005A19B9"/>
    <w:rsid w:val="005A3CEE"/>
    <w:rsid w:val="005A505D"/>
    <w:rsid w:val="005B0ADF"/>
    <w:rsid w:val="005B4EF5"/>
    <w:rsid w:val="005B5FE5"/>
    <w:rsid w:val="005B7AFC"/>
    <w:rsid w:val="005C28AA"/>
    <w:rsid w:val="005C2D9D"/>
    <w:rsid w:val="005C2E76"/>
    <w:rsid w:val="005C7F03"/>
    <w:rsid w:val="005D048D"/>
    <w:rsid w:val="005D2419"/>
    <w:rsid w:val="005D2748"/>
    <w:rsid w:val="005D3CC3"/>
    <w:rsid w:val="005D5361"/>
    <w:rsid w:val="005D6BB8"/>
    <w:rsid w:val="005E0CF6"/>
    <w:rsid w:val="005E3732"/>
    <w:rsid w:val="005E6ABF"/>
    <w:rsid w:val="005F000B"/>
    <w:rsid w:val="005F27A4"/>
    <w:rsid w:val="005F3C6B"/>
    <w:rsid w:val="006011FC"/>
    <w:rsid w:val="0060237F"/>
    <w:rsid w:val="006069B4"/>
    <w:rsid w:val="0060736A"/>
    <w:rsid w:val="0061024E"/>
    <w:rsid w:val="006126C0"/>
    <w:rsid w:val="00616610"/>
    <w:rsid w:val="00616FC2"/>
    <w:rsid w:val="00617541"/>
    <w:rsid w:val="00620636"/>
    <w:rsid w:val="006239DB"/>
    <w:rsid w:val="00624DF7"/>
    <w:rsid w:val="00625495"/>
    <w:rsid w:val="00631805"/>
    <w:rsid w:val="00633DD4"/>
    <w:rsid w:val="006368F1"/>
    <w:rsid w:val="00642E83"/>
    <w:rsid w:val="006468E6"/>
    <w:rsid w:val="0064752F"/>
    <w:rsid w:val="00647C91"/>
    <w:rsid w:val="00651038"/>
    <w:rsid w:val="00655EAB"/>
    <w:rsid w:val="00655EC2"/>
    <w:rsid w:val="0065610E"/>
    <w:rsid w:val="00657037"/>
    <w:rsid w:val="00664E95"/>
    <w:rsid w:val="00671EA3"/>
    <w:rsid w:val="0067261F"/>
    <w:rsid w:val="00675412"/>
    <w:rsid w:val="00676A2B"/>
    <w:rsid w:val="00676BC2"/>
    <w:rsid w:val="00680CA5"/>
    <w:rsid w:val="00683F71"/>
    <w:rsid w:val="00685332"/>
    <w:rsid w:val="006856F0"/>
    <w:rsid w:val="00690418"/>
    <w:rsid w:val="006911E6"/>
    <w:rsid w:val="00695005"/>
    <w:rsid w:val="0069718C"/>
    <w:rsid w:val="006A078D"/>
    <w:rsid w:val="006A2A98"/>
    <w:rsid w:val="006A2DBF"/>
    <w:rsid w:val="006A5404"/>
    <w:rsid w:val="006B11D0"/>
    <w:rsid w:val="006B541F"/>
    <w:rsid w:val="006B727F"/>
    <w:rsid w:val="006C014A"/>
    <w:rsid w:val="006C50FC"/>
    <w:rsid w:val="006C52A7"/>
    <w:rsid w:val="006C626F"/>
    <w:rsid w:val="006D16EE"/>
    <w:rsid w:val="006D46ED"/>
    <w:rsid w:val="006D67F0"/>
    <w:rsid w:val="006E014E"/>
    <w:rsid w:val="006E0E53"/>
    <w:rsid w:val="006E60CB"/>
    <w:rsid w:val="006E6B4A"/>
    <w:rsid w:val="006F186E"/>
    <w:rsid w:val="006F19F4"/>
    <w:rsid w:val="006F2C7C"/>
    <w:rsid w:val="006F43A7"/>
    <w:rsid w:val="006F4C13"/>
    <w:rsid w:val="006F4D26"/>
    <w:rsid w:val="006F73C4"/>
    <w:rsid w:val="006F79A1"/>
    <w:rsid w:val="007010B4"/>
    <w:rsid w:val="00701C23"/>
    <w:rsid w:val="00701D99"/>
    <w:rsid w:val="007022D1"/>
    <w:rsid w:val="00704048"/>
    <w:rsid w:val="00705462"/>
    <w:rsid w:val="007111BF"/>
    <w:rsid w:val="00713525"/>
    <w:rsid w:val="00714D79"/>
    <w:rsid w:val="00725681"/>
    <w:rsid w:val="007261C3"/>
    <w:rsid w:val="007302E6"/>
    <w:rsid w:val="00730671"/>
    <w:rsid w:val="0073344C"/>
    <w:rsid w:val="007334DA"/>
    <w:rsid w:val="0073512E"/>
    <w:rsid w:val="00736012"/>
    <w:rsid w:val="0074126F"/>
    <w:rsid w:val="007412FD"/>
    <w:rsid w:val="00742A2B"/>
    <w:rsid w:val="00746DA5"/>
    <w:rsid w:val="00750AD2"/>
    <w:rsid w:val="007528AB"/>
    <w:rsid w:val="00761FF9"/>
    <w:rsid w:val="0076279B"/>
    <w:rsid w:val="007656A6"/>
    <w:rsid w:val="00766B88"/>
    <w:rsid w:val="0077308D"/>
    <w:rsid w:val="0077346E"/>
    <w:rsid w:val="00774C3D"/>
    <w:rsid w:val="00775E36"/>
    <w:rsid w:val="007779AC"/>
    <w:rsid w:val="00785015"/>
    <w:rsid w:val="007916FA"/>
    <w:rsid w:val="00792411"/>
    <w:rsid w:val="0079261D"/>
    <w:rsid w:val="00795E0E"/>
    <w:rsid w:val="007A20C8"/>
    <w:rsid w:val="007A283A"/>
    <w:rsid w:val="007A46FF"/>
    <w:rsid w:val="007A5788"/>
    <w:rsid w:val="007B3B0C"/>
    <w:rsid w:val="007C09C3"/>
    <w:rsid w:val="007C0FB5"/>
    <w:rsid w:val="007C1185"/>
    <w:rsid w:val="007C2169"/>
    <w:rsid w:val="007C244C"/>
    <w:rsid w:val="007C250A"/>
    <w:rsid w:val="007C3005"/>
    <w:rsid w:val="007C3FC6"/>
    <w:rsid w:val="007C4FA4"/>
    <w:rsid w:val="007C65FC"/>
    <w:rsid w:val="007D4D3C"/>
    <w:rsid w:val="007D64BC"/>
    <w:rsid w:val="007E0226"/>
    <w:rsid w:val="007E19D9"/>
    <w:rsid w:val="007E2BEC"/>
    <w:rsid w:val="007E71AF"/>
    <w:rsid w:val="007E787A"/>
    <w:rsid w:val="007F2B56"/>
    <w:rsid w:val="007F6EC2"/>
    <w:rsid w:val="007F721B"/>
    <w:rsid w:val="007F796B"/>
    <w:rsid w:val="0080297B"/>
    <w:rsid w:val="00804703"/>
    <w:rsid w:val="00804D65"/>
    <w:rsid w:val="00805A36"/>
    <w:rsid w:val="00810DC5"/>
    <w:rsid w:val="00812EB3"/>
    <w:rsid w:val="00820206"/>
    <w:rsid w:val="00821D45"/>
    <w:rsid w:val="00824FDD"/>
    <w:rsid w:val="00826274"/>
    <w:rsid w:val="00827923"/>
    <w:rsid w:val="008319BE"/>
    <w:rsid w:val="00833574"/>
    <w:rsid w:val="00843479"/>
    <w:rsid w:val="00844043"/>
    <w:rsid w:val="008463AA"/>
    <w:rsid w:val="008474BB"/>
    <w:rsid w:val="00851072"/>
    <w:rsid w:val="0085730A"/>
    <w:rsid w:val="00861F81"/>
    <w:rsid w:val="0086404F"/>
    <w:rsid w:val="00867309"/>
    <w:rsid w:val="0086735C"/>
    <w:rsid w:val="008707B7"/>
    <w:rsid w:val="00870D7D"/>
    <w:rsid w:val="00870FE8"/>
    <w:rsid w:val="00871B32"/>
    <w:rsid w:val="00876EEA"/>
    <w:rsid w:val="00880E6D"/>
    <w:rsid w:val="00881B82"/>
    <w:rsid w:val="00881FCD"/>
    <w:rsid w:val="008834C5"/>
    <w:rsid w:val="00887778"/>
    <w:rsid w:val="00893EBE"/>
    <w:rsid w:val="00894EC2"/>
    <w:rsid w:val="00896393"/>
    <w:rsid w:val="00896D48"/>
    <w:rsid w:val="008A271A"/>
    <w:rsid w:val="008A6878"/>
    <w:rsid w:val="008A6F83"/>
    <w:rsid w:val="008B0CD2"/>
    <w:rsid w:val="008B674F"/>
    <w:rsid w:val="008B6CDC"/>
    <w:rsid w:val="008B7600"/>
    <w:rsid w:val="008C088D"/>
    <w:rsid w:val="008C0A35"/>
    <w:rsid w:val="008C181E"/>
    <w:rsid w:val="008C1B42"/>
    <w:rsid w:val="008C2485"/>
    <w:rsid w:val="008C51EC"/>
    <w:rsid w:val="008C5A1C"/>
    <w:rsid w:val="008C5A5F"/>
    <w:rsid w:val="008C5E28"/>
    <w:rsid w:val="008D2FF1"/>
    <w:rsid w:val="008E3F9B"/>
    <w:rsid w:val="008E7E6A"/>
    <w:rsid w:val="008F2045"/>
    <w:rsid w:val="008F2611"/>
    <w:rsid w:val="008F281F"/>
    <w:rsid w:val="008F326F"/>
    <w:rsid w:val="008F358C"/>
    <w:rsid w:val="008F5128"/>
    <w:rsid w:val="008F6423"/>
    <w:rsid w:val="008F6B79"/>
    <w:rsid w:val="008F6C57"/>
    <w:rsid w:val="008F6D6F"/>
    <w:rsid w:val="009011C0"/>
    <w:rsid w:val="009053A0"/>
    <w:rsid w:val="00905526"/>
    <w:rsid w:val="00905A57"/>
    <w:rsid w:val="0091149E"/>
    <w:rsid w:val="00911C4B"/>
    <w:rsid w:val="009124AB"/>
    <w:rsid w:val="009137A6"/>
    <w:rsid w:val="0091486C"/>
    <w:rsid w:val="00914BFE"/>
    <w:rsid w:val="00914FBA"/>
    <w:rsid w:val="00916CF5"/>
    <w:rsid w:val="00922E6D"/>
    <w:rsid w:val="00922F41"/>
    <w:rsid w:val="00923369"/>
    <w:rsid w:val="0092386D"/>
    <w:rsid w:val="00932239"/>
    <w:rsid w:val="00933BA9"/>
    <w:rsid w:val="00935D9F"/>
    <w:rsid w:val="00940575"/>
    <w:rsid w:val="00941173"/>
    <w:rsid w:val="00944982"/>
    <w:rsid w:val="00945764"/>
    <w:rsid w:val="00946629"/>
    <w:rsid w:val="00950044"/>
    <w:rsid w:val="0095204D"/>
    <w:rsid w:val="00954D41"/>
    <w:rsid w:val="00960569"/>
    <w:rsid w:val="0096244C"/>
    <w:rsid w:val="009641BB"/>
    <w:rsid w:val="0098448C"/>
    <w:rsid w:val="00984A98"/>
    <w:rsid w:val="009851FF"/>
    <w:rsid w:val="0099282B"/>
    <w:rsid w:val="00992DA6"/>
    <w:rsid w:val="009965B6"/>
    <w:rsid w:val="009A057C"/>
    <w:rsid w:val="009A3DC2"/>
    <w:rsid w:val="009A58E4"/>
    <w:rsid w:val="009A7639"/>
    <w:rsid w:val="009A7815"/>
    <w:rsid w:val="009B2D92"/>
    <w:rsid w:val="009B53DC"/>
    <w:rsid w:val="009B5C34"/>
    <w:rsid w:val="009B75FF"/>
    <w:rsid w:val="009C0493"/>
    <w:rsid w:val="009C1F14"/>
    <w:rsid w:val="009C7AA1"/>
    <w:rsid w:val="009C7C97"/>
    <w:rsid w:val="009D062E"/>
    <w:rsid w:val="009D0EA3"/>
    <w:rsid w:val="009D28DD"/>
    <w:rsid w:val="009D2F4D"/>
    <w:rsid w:val="009D3A93"/>
    <w:rsid w:val="009D5591"/>
    <w:rsid w:val="009D7397"/>
    <w:rsid w:val="009E1962"/>
    <w:rsid w:val="009E41C3"/>
    <w:rsid w:val="009E4C0D"/>
    <w:rsid w:val="009E53A7"/>
    <w:rsid w:val="009F0CDB"/>
    <w:rsid w:val="009F4951"/>
    <w:rsid w:val="009F4E22"/>
    <w:rsid w:val="00A03E12"/>
    <w:rsid w:val="00A04CB2"/>
    <w:rsid w:val="00A0559E"/>
    <w:rsid w:val="00A14D34"/>
    <w:rsid w:val="00A1606D"/>
    <w:rsid w:val="00A21B41"/>
    <w:rsid w:val="00A2361C"/>
    <w:rsid w:val="00A301C8"/>
    <w:rsid w:val="00A3222E"/>
    <w:rsid w:val="00A331F2"/>
    <w:rsid w:val="00A34557"/>
    <w:rsid w:val="00A351A5"/>
    <w:rsid w:val="00A40B9C"/>
    <w:rsid w:val="00A40D50"/>
    <w:rsid w:val="00A40E26"/>
    <w:rsid w:val="00A478BD"/>
    <w:rsid w:val="00A53E5C"/>
    <w:rsid w:val="00A54757"/>
    <w:rsid w:val="00A556C2"/>
    <w:rsid w:val="00A5592E"/>
    <w:rsid w:val="00A60140"/>
    <w:rsid w:val="00A616A6"/>
    <w:rsid w:val="00A642B8"/>
    <w:rsid w:val="00A647C2"/>
    <w:rsid w:val="00A73852"/>
    <w:rsid w:val="00A829F9"/>
    <w:rsid w:val="00A830EE"/>
    <w:rsid w:val="00A84AE7"/>
    <w:rsid w:val="00A8517F"/>
    <w:rsid w:val="00A853C3"/>
    <w:rsid w:val="00A91A0E"/>
    <w:rsid w:val="00A9770E"/>
    <w:rsid w:val="00AA18E9"/>
    <w:rsid w:val="00AA384D"/>
    <w:rsid w:val="00AA5A3F"/>
    <w:rsid w:val="00AA7335"/>
    <w:rsid w:val="00AB08F4"/>
    <w:rsid w:val="00AB2394"/>
    <w:rsid w:val="00AB70AB"/>
    <w:rsid w:val="00AC0254"/>
    <w:rsid w:val="00AC2009"/>
    <w:rsid w:val="00AC4B81"/>
    <w:rsid w:val="00AD60C3"/>
    <w:rsid w:val="00AD7CFB"/>
    <w:rsid w:val="00AE1257"/>
    <w:rsid w:val="00AE6D1F"/>
    <w:rsid w:val="00AF02E5"/>
    <w:rsid w:val="00AF0758"/>
    <w:rsid w:val="00AF110E"/>
    <w:rsid w:val="00AF11C4"/>
    <w:rsid w:val="00AF1F3C"/>
    <w:rsid w:val="00AF7A10"/>
    <w:rsid w:val="00B00E40"/>
    <w:rsid w:val="00B02A3F"/>
    <w:rsid w:val="00B02B78"/>
    <w:rsid w:val="00B040C2"/>
    <w:rsid w:val="00B04F92"/>
    <w:rsid w:val="00B05C05"/>
    <w:rsid w:val="00B06826"/>
    <w:rsid w:val="00B106E1"/>
    <w:rsid w:val="00B1208E"/>
    <w:rsid w:val="00B16C2D"/>
    <w:rsid w:val="00B21A39"/>
    <w:rsid w:val="00B248F8"/>
    <w:rsid w:val="00B249DD"/>
    <w:rsid w:val="00B27B4F"/>
    <w:rsid w:val="00B34A11"/>
    <w:rsid w:val="00B3531B"/>
    <w:rsid w:val="00B37A9F"/>
    <w:rsid w:val="00B41673"/>
    <w:rsid w:val="00B41852"/>
    <w:rsid w:val="00B41F0A"/>
    <w:rsid w:val="00B433EB"/>
    <w:rsid w:val="00B439D6"/>
    <w:rsid w:val="00B44F2B"/>
    <w:rsid w:val="00B46064"/>
    <w:rsid w:val="00B50454"/>
    <w:rsid w:val="00B529CE"/>
    <w:rsid w:val="00B541B6"/>
    <w:rsid w:val="00B574C6"/>
    <w:rsid w:val="00B57C8C"/>
    <w:rsid w:val="00B60045"/>
    <w:rsid w:val="00B613A5"/>
    <w:rsid w:val="00B62E41"/>
    <w:rsid w:val="00B62F9E"/>
    <w:rsid w:val="00B66867"/>
    <w:rsid w:val="00B70D81"/>
    <w:rsid w:val="00B72260"/>
    <w:rsid w:val="00B73789"/>
    <w:rsid w:val="00B759C0"/>
    <w:rsid w:val="00B75BF8"/>
    <w:rsid w:val="00B76CC3"/>
    <w:rsid w:val="00B778FE"/>
    <w:rsid w:val="00B77F96"/>
    <w:rsid w:val="00B8196D"/>
    <w:rsid w:val="00B8207B"/>
    <w:rsid w:val="00B838B6"/>
    <w:rsid w:val="00B908E3"/>
    <w:rsid w:val="00B9146E"/>
    <w:rsid w:val="00B9230C"/>
    <w:rsid w:val="00B92D8E"/>
    <w:rsid w:val="00B93789"/>
    <w:rsid w:val="00B946C9"/>
    <w:rsid w:val="00B94841"/>
    <w:rsid w:val="00B967E7"/>
    <w:rsid w:val="00B9694D"/>
    <w:rsid w:val="00B977B8"/>
    <w:rsid w:val="00BA0DE0"/>
    <w:rsid w:val="00BA1588"/>
    <w:rsid w:val="00BA1F77"/>
    <w:rsid w:val="00BA4BF4"/>
    <w:rsid w:val="00BA5A61"/>
    <w:rsid w:val="00BA5FE9"/>
    <w:rsid w:val="00BB53EA"/>
    <w:rsid w:val="00BB589D"/>
    <w:rsid w:val="00BB7884"/>
    <w:rsid w:val="00BC0096"/>
    <w:rsid w:val="00BC1350"/>
    <w:rsid w:val="00BC1621"/>
    <w:rsid w:val="00BC1963"/>
    <w:rsid w:val="00BC486E"/>
    <w:rsid w:val="00BC5C18"/>
    <w:rsid w:val="00BC600C"/>
    <w:rsid w:val="00BD3FD6"/>
    <w:rsid w:val="00BD41C3"/>
    <w:rsid w:val="00BD7688"/>
    <w:rsid w:val="00BE47ED"/>
    <w:rsid w:val="00BE604E"/>
    <w:rsid w:val="00BE674A"/>
    <w:rsid w:val="00BE7F2F"/>
    <w:rsid w:val="00BF0F3C"/>
    <w:rsid w:val="00BF20B0"/>
    <w:rsid w:val="00BF32A9"/>
    <w:rsid w:val="00C01834"/>
    <w:rsid w:val="00C03381"/>
    <w:rsid w:val="00C125FA"/>
    <w:rsid w:val="00C13687"/>
    <w:rsid w:val="00C16F7F"/>
    <w:rsid w:val="00C173B8"/>
    <w:rsid w:val="00C1792C"/>
    <w:rsid w:val="00C213ED"/>
    <w:rsid w:val="00C2178E"/>
    <w:rsid w:val="00C31DF0"/>
    <w:rsid w:val="00C400F2"/>
    <w:rsid w:val="00C4036A"/>
    <w:rsid w:val="00C437EA"/>
    <w:rsid w:val="00C44680"/>
    <w:rsid w:val="00C44739"/>
    <w:rsid w:val="00C45F5C"/>
    <w:rsid w:val="00C46653"/>
    <w:rsid w:val="00C54E9A"/>
    <w:rsid w:val="00C57D85"/>
    <w:rsid w:val="00C61EEB"/>
    <w:rsid w:val="00C6539D"/>
    <w:rsid w:val="00C65686"/>
    <w:rsid w:val="00C66A51"/>
    <w:rsid w:val="00C70435"/>
    <w:rsid w:val="00C75EBD"/>
    <w:rsid w:val="00C76E6E"/>
    <w:rsid w:val="00C81311"/>
    <w:rsid w:val="00C81E5B"/>
    <w:rsid w:val="00C820E3"/>
    <w:rsid w:val="00C83406"/>
    <w:rsid w:val="00C87EA1"/>
    <w:rsid w:val="00C90DA4"/>
    <w:rsid w:val="00C9168F"/>
    <w:rsid w:val="00C933B6"/>
    <w:rsid w:val="00C95747"/>
    <w:rsid w:val="00C95CA2"/>
    <w:rsid w:val="00C97DFA"/>
    <w:rsid w:val="00CA0485"/>
    <w:rsid w:val="00CA45BA"/>
    <w:rsid w:val="00CA561A"/>
    <w:rsid w:val="00CB3E5B"/>
    <w:rsid w:val="00CC47CC"/>
    <w:rsid w:val="00CC4973"/>
    <w:rsid w:val="00CC4B1B"/>
    <w:rsid w:val="00CC6D6E"/>
    <w:rsid w:val="00CC6EC4"/>
    <w:rsid w:val="00CC701D"/>
    <w:rsid w:val="00CD16D9"/>
    <w:rsid w:val="00CD1E91"/>
    <w:rsid w:val="00CD3A33"/>
    <w:rsid w:val="00CD5917"/>
    <w:rsid w:val="00CE5144"/>
    <w:rsid w:val="00CE6420"/>
    <w:rsid w:val="00CE6F44"/>
    <w:rsid w:val="00D010FA"/>
    <w:rsid w:val="00D01EF5"/>
    <w:rsid w:val="00D02CB5"/>
    <w:rsid w:val="00D0416E"/>
    <w:rsid w:val="00D04DE9"/>
    <w:rsid w:val="00D0781C"/>
    <w:rsid w:val="00D15DD4"/>
    <w:rsid w:val="00D16A6A"/>
    <w:rsid w:val="00D20631"/>
    <w:rsid w:val="00D21AFE"/>
    <w:rsid w:val="00D22179"/>
    <w:rsid w:val="00D26508"/>
    <w:rsid w:val="00D269DC"/>
    <w:rsid w:val="00D31F96"/>
    <w:rsid w:val="00D336E4"/>
    <w:rsid w:val="00D33C27"/>
    <w:rsid w:val="00D34E25"/>
    <w:rsid w:val="00D35695"/>
    <w:rsid w:val="00D35D93"/>
    <w:rsid w:val="00D379A9"/>
    <w:rsid w:val="00D37F52"/>
    <w:rsid w:val="00D3AEF2"/>
    <w:rsid w:val="00D40024"/>
    <w:rsid w:val="00D404BE"/>
    <w:rsid w:val="00D43EB6"/>
    <w:rsid w:val="00D44173"/>
    <w:rsid w:val="00D44391"/>
    <w:rsid w:val="00D450EC"/>
    <w:rsid w:val="00D47AEB"/>
    <w:rsid w:val="00D51BC6"/>
    <w:rsid w:val="00D548AA"/>
    <w:rsid w:val="00D574D0"/>
    <w:rsid w:val="00D57D5C"/>
    <w:rsid w:val="00D60426"/>
    <w:rsid w:val="00D60785"/>
    <w:rsid w:val="00D60B25"/>
    <w:rsid w:val="00D64318"/>
    <w:rsid w:val="00D663FF"/>
    <w:rsid w:val="00D67826"/>
    <w:rsid w:val="00D71BBD"/>
    <w:rsid w:val="00D72844"/>
    <w:rsid w:val="00D735B6"/>
    <w:rsid w:val="00D76859"/>
    <w:rsid w:val="00D842E3"/>
    <w:rsid w:val="00D85AC4"/>
    <w:rsid w:val="00D85CF6"/>
    <w:rsid w:val="00DA2C0F"/>
    <w:rsid w:val="00DA4AD6"/>
    <w:rsid w:val="00DB0C60"/>
    <w:rsid w:val="00DB14DB"/>
    <w:rsid w:val="00DB206B"/>
    <w:rsid w:val="00DB3EC9"/>
    <w:rsid w:val="00DB4535"/>
    <w:rsid w:val="00DB4DCA"/>
    <w:rsid w:val="00DB53E8"/>
    <w:rsid w:val="00DB644A"/>
    <w:rsid w:val="00DC0903"/>
    <w:rsid w:val="00DC50B2"/>
    <w:rsid w:val="00DC7AE4"/>
    <w:rsid w:val="00DC7F5C"/>
    <w:rsid w:val="00DD24FF"/>
    <w:rsid w:val="00DD2E55"/>
    <w:rsid w:val="00DD6142"/>
    <w:rsid w:val="00DE4987"/>
    <w:rsid w:val="00DE5987"/>
    <w:rsid w:val="00DE68EA"/>
    <w:rsid w:val="00DE7463"/>
    <w:rsid w:val="00DE7732"/>
    <w:rsid w:val="00DF229E"/>
    <w:rsid w:val="00DF30BB"/>
    <w:rsid w:val="00DF34A0"/>
    <w:rsid w:val="00DF36D8"/>
    <w:rsid w:val="00DF5807"/>
    <w:rsid w:val="00E02D41"/>
    <w:rsid w:val="00E0351C"/>
    <w:rsid w:val="00E04DD0"/>
    <w:rsid w:val="00E05616"/>
    <w:rsid w:val="00E067EC"/>
    <w:rsid w:val="00E10DA1"/>
    <w:rsid w:val="00E10F49"/>
    <w:rsid w:val="00E144B4"/>
    <w:rsid w:val="00E14B28"/>
    <w:rsid w:val="00E14D83"/>
    <w:rsid w:val="00E15973"/>
    <w:rsid w:val="00E20CB8"/>
    <w:rsid w:val="00E20D1C"/>
    <w:rsid w:val="00E21006"/>
    <w:rsid w:val="00E2114F"/>
    <w:rsid w:val="00E21D0B"/>
    <w:rsid w:val="00E25C4C"/>
    <w:rsid w:val="00E33974"/>
    <w:rsid w:val="00E34767"/>
    <w:rsid w:val="00E3742F"/>
    <w:rsid w:val="00E408F2"/>
    <w:rsid w:val="00E45D6E"/>
    <w:rsid w:val="00E47342"/>
    <w:rsid w:val="00E509C6"/>
    <w:rsid w:val="00E50DAF"/>
    <w:rsid w:val="00E51267"/>
    <w:rsid w:val="00E523C1"/>
    <w:rsid w:val="00E5377C"/>
    <w:rsid w:val="00E54AB3"/>
    <w:rsid w:val="00E55B03"/>
    <w:rsid w:val="00E60190"/>
    <w:rsid w:val="00E630DA"/>
    <w:rsid w:val="00E631EE"/>
    <w:rsid w:val="00E634A5"/>
    <w:rsid w:val="00E64868"/>
    <w:rsid w:val="00E6614B"/>
    <w:rsid w:val="00E667A7"/>
    <w:rsid w:val="00E7021E"/>
    <w:rsid w:val="00E714C7"/>
    <w:rsid w:val="00E72D1A"/>
    <w:rsid w:val="00E731EA"/>
    <w:rsid w:val="00E7485F"/>
    <w:rsid w:val="00E74F77"/>
    <w:rsid w:val="00E82B3B"/>
    <w:rsid w:val="00E82ECB"/>
    <w:rsid w:val="00E83CD8"/>
    <w:rsid w:val="00E84A32"/>
    <w:rsid w:val="00E87B9B"/>
    <w:rsid w:val="00E91CC0"/>
    <w:rsid w:val="00E95AF6"/>
    <w:rsid w:val="00EA54E5"/>
    <w:rsid w:val="00EA654D"/>
    <w:rsid w:val="00EA7B39"/>
    <w:rsid w:val="00EB093F"/>
    <w:rsid w:val="00EB5183"/>
    <w:rsid w:val="00EB789E"/>
    <w:rsid w:val="00EC1644"/>
    <w:rsid w:val="00EC658E"/>
    <w:rsid w:val="00ED287C"/>
    <w:rsid w:val="00ED2E9F"/>
    <w:rsid w:val="00ED3EA6"/>
    <w:rsid w:val="00ED3F5E"/>
    <w:rsid w:val="00ED5AEB"/>
    <w:rsid w:val="00EE46C4"/>
    <w:rsid w:val="00EF3C0B"/>
    <w:rsid w:val="00EF6851"/>
    <w:rsid w:val="00EF72E5"/>
    <w:rsid w:val="00F04959"/>
    <w:rsid w:val="00F06BA5"/>
    <w:rsid w:val="00F07EF9"/>
    <w:rsid w:val="00F13442"/>
    <w:rsid w:val="00F14026"/>
    <w:rsid w:val="00F2086A"/>
    <w:rsid w:val="00F22981"/>
    <w:rsid w:val="00F2555B"/>
    <w:rsid w:val="00F30CEE"/>
    <w:rsid w:val="00F30EE4"/>
    <w:rsid w:val="00F3194F"/>
    <w:rsid w:val="00F32630"/>
    <w:rsid w:val="00F3275D"/>
    <w:rsid w:val="00F33DA9"/>
    <w:rsid w:val="00F34850"/>
    <w:rsid w:val="00F40A6B"/>
    <w:rsid w:val="00F41F96"/>
    <w:rsid w:val="00F43C35"/>
    <w:rsid w:val="00F43D81"/>
    <w:rsid w:val="00F44AF0"/>
    <w:rsid w:val="00F44D7F"/>
    <w:rsid w:val="00F60BB2"/>
    <w:rsid w:val="00F6127B"/>
    <w:rsid w:val="00F61A5C"/>
    <w:rsid w:val="00F62B6A"/>
    <w:rsid w:val="00F62E57"/>
    <w:rsid w:val="00F679F2"/>
    <w:rsid w:val="00F710DE"/>
    <w:rsid w:val="00F73CC3"/>
    <w:rsid w:val="00F74C26"/>
    <w:rsid w:val="00F74C2C"/>
    <w:rsid w:val="00F75AB2"/>
    <w:rsid w:val="00F776B7"/>
    <w:rsid w:val="00F80C2D"/>
    <w:rsid w:val="00F80E88"/>
    <w:rsid w:val="00F81581"/>
    <w:rsid w:val="00F84277"/>
    <w:rsid w:val="00F927AF"/>
    <w:rsid w:val="00F94877"/>
    <w:rsid w:val="00FA2D4A"/>
    <w:rsid w:val="00FA306B"/>
    <w:rsid w:val="00FA5F2C"/>
    <w:rsid w:val="00FA7FE1"/>
    <w:rsid w:val="00FB0089"/>
    <w:rsid w:val="00FB3C61"/>
    <w:rsid w:val="00FB4208"/>
    <w:rsid w:val="00FB454F"/>
    <w:rsid w:val="00FB4EB4"/>
    <w:rsid w:val="00FC224A"/>
    <w:rsid w:val="00FC34BC"/>
    <w:rsid w:val="00FD18F8"/>
    <w:rsid w:val="00FD481F"/>
    <w:rsid w:val="00FD68B1"/>
    <w:rsid w:val="00FD69D2"/>
    <w:rsid w:val="00FD7CD3"/>
    <w:rsid w:val="00FE095B"/>
    <w:rsid w:val="00FE0BC2"/>
    <w:rsid w:val="00FE1CF0"/>
    <w:rsid w:val="00FE2AA4"/>
    <w:rsid w:val="00FE4900"/>
    <w:rsid w:val="00FE54E8"/>
    <w:rsid w:val="00FE5F8B"/>
    <w:rsid w:val="00FE60B8"/>
    <w:rsid w:val="00FE7E2C"/>
    <w:rsid w:val="00FF2F24"/>
    <w:rsid w:val="00FF3C51"/>
    <w:rsid w:val="00FF410D"/>
    <w:rsid w:val="00FF4F6C"/>
    <w:rsid w:val="012E7FF7"/>
    <w:rsid w:val="0414DB70"/>
    <w:rsid w:val="0575452C"/>
    <w:rsid w:val="0AC59EF9"/>
    <w:rsid w:val="0B1E2389"/>
    <w:rsid w:val="0B7268E7"/>
    <w:rsid w:val="0B7DB370"/>
    <w:rsid w:val="0CCFF22D"/>
    <w:rsid w:val="0D36C8F8"/>
    <w:rsid w:val="0ECACC0C"/>
    <w:rsid w:val="0F9A79BC"/>
    <w:rsid w:val="10DA9322"/>
    <w:rsid w:val="1274AAEF"/>
    <w:rsid w:val="153BA758"/>
    <w:rsid w:val="16EDB6E8"/>
    <w:rsid w:val="19F2F79F"/>
    <w:rsid w:val="1BC2652F"/>
    <w:rsid w:val="1C951499"/>
    <w:rsid w:val="1CB1B4EA"/>
    <w:rsid w:val="1CD01B26"/>
    <w:rsid w:val="1DBAF003"/>
    <w:rsid w:val="1F6D151B"/>
    <w:rsid w:val="1F8B5101"/>
    <w:rsid w:val="1FE8D70F"/>
    <w:rsid w:val="20566552"/>
    <w:rsid w:val="22536AED"/>
    <w:rsid w:val="22C46EFB"/>
    <w:rsid w:val="259027E1"/>
    <w:rsid w:val="2B5CEBF2"/>
    <w:rsid w:val="2C87CD42"/>
    <w:rsid w:val="32C3F1F5"/>
    <w:rsid w:val="361AFAC9"/>
    <w:rsid w:val="37858163"/>
    <w:rsid w:val="3BA1DFE8"/>
    <w:rsid w:val="3DE5B276"/>
    <w:rsid w:val="4005CDDB"/>
    <w:rsid w:val="409E9CEE"/>
    <w:rsid w:val="40B046FD"/>
    <w:rsid w:val="41263F8E"/>
    <w:rsid w:val="41476CFC"/>
    <w:rsid w:val="41913A09"/>
    <w:rsid w:val="41FEB2BD"/>
    <w:rsid w:val="44DC15D0"/>
    <w:rsid w:val="472856E9"/>
    <w:rsid w:val="4732F91D"/>
    <w:rsid w:val="4A5E57B7"/>
    <w:rsid w:val="4AB4CF56"/>
    <w:rsid w:val="4B1AE063"/>
    <w:rsid w:val="4BD37336"/>
    <w:rsid w:val="4C84FB60"/>
    <w:rsid w:val="4E25CF1C"/>
    <w:rsid w:val="4F745E13"/>
    <w:rsid w:val="50236CA4"/>
    <w:rsid w:val="52FD2878"/>
    <w:rsid w:val="54C117EA"/>
    <w:rsid w:val="55C89496"/>
    <w:rsid w:val="5AECC4CF"/>
    <w:rsid w:val="63BD4A0D"/>
    <w:rsid w:val="65415E93"/>
    <w:rsid w:val="6E724610"/>
    <w:rsid w:val="6F1BDFB4"/>
    <w:rsid w:val="7160A5A7"/>
    <w:rsid w:val="732D9B1C"/>
    <w:rsid w:val="73B74714"/>
    <w:rsid w:val="766722E8"/>
    <w:rsid w:val="76D388C7"/>
    <w:rsid w:val="7720A4BB"/>
    <w:rsid w:val="7AC1FFF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FEE008"/>
  <w15:chartTrackingRefBased/>
  <w15:docId w15:val="{08AEACCB-6399-4372-A707-146DD62B0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7C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C8C"/>
  </w:style>
  <w:style w:type="paragraph" w:styleId="Footer">
    <w:name w:val="footer"/>
    <w:basedOn w:val="Normal"/>
    <w:link w:val="FooterChar"/>
    <w:uiPriority w:val="99"/>
    <w:unhideWhenUsed/>
    <w:rsid w:val="00B57C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C8C"/>
  </w:style>
  <w:style w:type="paragraph" w:styleId="ListParagraph">
    <w:name w:val="List Paragraph"/>
    <w:basedOn w:val="Normal"/>
    <w:uiPriority w:val="34"/>
    <w:qFormat/>
    <w:rsid w:val="00DB14DB"/>
    <w:pPr>
      <w:ind w:left="720"/>
      <w:contextualSpacing/>
    </w:pPr>
  </w:style>
  <w:style w:type="character" w:styleId="Hyperlink">
    <w:name w:val="Hyperlink"/>
    <w:basedOn w:val="DefaultParagraphFont"/>
    <w:uiPriority w:val="99"/>
    <w:unhideWhenUsed/>
    <w:rsid w:val="003A294F"/>
    <w:rPr>
      <w:color w:val="0563C1" w:themeColor="hyperlink"/>
      <w:u w:val="single"/>
    </w:rPr>
  </w:style>
  <w:style w:type="character" w:styleId="UnresolvedMention">
    <w:name w:val="Unresolved Mention"/>
    <w:basedOn w:val="DefaultParagraphFont"/>
    <w:uiPriority w:val="99"/>
    <w:semiHidden/>
    <w:unhideWhenUsed/>
    <w:rsid w:val="003A294F"/>
    <w:rPr>
      <w:color w:val="605E5C"/>
      <w:shd w:val="clear" w:color="auto" w:fill="E1DFDD"/>
    </w:rPr>
  </w:style>
  <w:style w:type="paragraph" w:styleId="Revision">
    <w:name w:val="Revision"/>
    <w:hidden/>
    <w:uiPriority w:val="99"/>
    <w:semiHidden/>
    <w:rsid w:val="003C5E75"/>
    <w:pPr>
      <w:spacing w:after="0" w:line="240" w:lineRule="auto"/>
    </w:pPr>
  </w:style>
  <w:style w:type="character" w:styleId="CommentReference">
    <w:name w:val="annotation reference"/>
    <w:basedOn w:val="DefaultParagraphFont"/>
    <w:uiPriority w:val="99"/>
    <w:semiHidden/>
    <w:unhideWhenUsed/>
    <w:rsid w:val="00043F8A"/>
    <w:rPr>
      <w:sz w:val="16"/>
      <w:szCs w:val="16"/>
    </w:rPr>
  </w:style>
  <w:style w:type="paragraph" w:styleId="CommentText">
    <w:name w:val="annotation text"/>
    <w:basedOn w:val="Normal"/>
    <w:link w:val="CommentTextChar"/>
    <w:uiPriority w:val="99"/>
    <w:unhideWhenUsed/>
    <w:rsid w:val="00043F8A"/>
    <w:pPr>
      <w:spacing w:line="240" w:lineRule="auto"/>
    </w:pPr>
    <w:rPr>
      <w:sz w:val="20"/>
      <w:szCs w:val="20"/>
    </w:rPr>
  </w:style>
  <w:style w:type="character" w:customStyle="1" w:styleId="CommentTextChar">
    <w:name w:val="Comment Text Char"/>
    <w:basedOn w:val="DefaultParagraphFont"/>
    <w:link w:val="CommentText"/>
    <w:uiPriority w:val="99"/>
    <w:rsid w:val="00043F8A"/>
    <w:rPr>
      <w:sz w:val="20"/>
      <w:szCs w:val="20"/>
    </w:rPr>
  </w:style>
  <w:style w:type="paragraph" w:styleId="CommentSubject">
    <w:name w:val="annotation subject"/>
    <w:basedOn w:val="CommentText"/>
    <w:next w:val="CommentText"/>
    <w:link w:val="CommentSubjectChar"/>
    <w:uiPriority w:val="99"/>
    <w:semiHidden/>
    <w:unhideWhenUsed/>
    <w:rsid w:val="00043F8A"/>
    <w:rPr>
      <w:b/>
      <w:bCs/>
    </w:rPr>
  </w:style>
  <w:style w:type="character" w:customStyle="1" w:styleId="CommentSubjectChar">
    <w:name w:val="Comment Subject Char"/>
    <w:basedOn w:val="CommentTextChar"/>
    <w:link w:val="CommentSubject"/>
    <w:uiPriority w:val="99"/>
    <w:semiHidden/>
    <w:rsid w:val="00043F8A"/>
    <w:rPr>
      <w:b/>
      <w:bCs/>
      <w:sz w:val="20"/>
      <w:szCs w:val="20"/>
    </w:rPr>
  </w:style>
  <w:style w:type="character" w:customStyle="1" w:styleId="legacy-color-text-blue3">
    <w:name w:val="legacy-color-text-blue3"/>
    <w:basedOn w:val="DefaultParagraphFont"/>
    <w:rsid w:val="00BD41C3"/>
  </w:style>
  <w:style w:type="character" w:styleId="Mention">
    <w:name w:val="Mention"/>
    <w:basedOn w:val="DefaultParagraphFont"/>
    <w:uiPriority w:val="99"/>
    <w:unhideWhenUsed/>
    <w:rsid w:val="00705462"/>
    <w:rPr>
      <w:color w:val="2B579A"/>
      <w:shd w:val="clear" w:color="auto" w:fill="E1DFDD"/>
    </w:rPr>
  </w:style>
  <w:style w:type="paragraph" w:styleId="NormalWeb">
    <w:name w:val="Normal (Web)"/>
    <w:basedOn w:val="Normal"/>
    <w:uiPriority w:val="99"/>
    <w:unhideWhenUsed/>
    <w:rsid w:val="0007741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9965B6"/>
  </w:style>
  <w:style w:type="character" w:customStyle="1" w:styleId="eop">
    <w:name w:val="eop"/>
    <w:basedOn w:val="DefaultParagraphFont"/>
    <w:rsid w:val="006C52A7"/>
  </w:style>
  <w:style w:type="paragraph" w:customStyle="1" w:styleId="paragraph">
    <w:name w:val="paragraph"/>
    <w:basedOn w:val="Normal"/>
    <w:rsid w:val="00140B5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E408F2"/>
    <w:rPr>
      <w:i/>
      <w:iCs/>
    </w:rPr>
  </w:style>
  <w:style w:type="paragraph" w:styleId="FootnoteText">
    <w:name w:val="footnote text"/>
    <w:basedOn w:val="Normal"/>
    <w:link w:val="FootnoteTextChar"/>
    <w:uiPriority w:val="99"/>
    <w:semiHidden/>
    <w:unhideWhenUsed/>
    <w:rsid w:val="00F30C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0CEE"/>
    <w:rPr>
      <w:sz w:val="20"/>
      <w:szCs w:val="20"/>
    </w:rPr>
  </w:style>
  <w:style w:type="character" w:styleId="FootnoteReference">
    <w:name w:val="footnote reference"/>
    <w:basedOn w:val="DefaultParagraphFont"/>
    <w:uiPriority w:val="99"/>
    <w:semiHidden/>
    <w:unhideWhenUsed/>
    <w:rsid w:val="00F30CEE"/>
    <w:rPr>
      <w:vertAlign w:val="superscript"/>
    </w:rPr>
  </w:style>
  <w:style w:type="character" w:customStyle="1" w:styleId="cf01">
    <w:name w:val="cf01"/>
    <w:basedOn w:val="DefaultParagraphFont"/>
    <w:rsid w:val="00F30CEE"/>
    <w:rPr>
      <w:rFonts w:ascii="Segoe UI" w:hAnsi="Segoe UI" w:cs="Segoe UI" w:hint="default"/>
      <w:sz w:val="18"/>
      <w:szCs w:val="18"/>
    </w:rPr>
  </w:style>
  <w:style w:type="paragraph" w:styleId="EndnoteText">
    <w:name w:val="endnote text"/>
    <w:basedOn w:val="Normal"/>
    <w:link w:val="EndnoteTextChar"/>
    <w:uiPriority w:val="99"/>
    <w:semiHidden/>
    <w:unhideWhenUsed/>
    <w:rsid w:val="00F30C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30CEE"/>
    <w:rPr>
      <w:sz w:val="20"/>
      <w:szCs w:val="20"/>
    </w:rPr>
  </w:style>
  <w:style w:type="character" w:styleId="EndnoteReference">
    <w:name w:val="endnote reference"/>
    <w:basedOn w:val="DefaultParagraphFont"/>
    <w:uiPriority w:val="99"/>
    <w:semiHidden/>
    <w:unhideWhenUsed/>
    <w:rsid w:val="00F30C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94612">
      <w:bodyDiv w:val="1"/>
      <w:marLeft w:val="0"/>
      <w:marRight w:val="0"/>
      <w:marTop w:val="0"/>
      <w:marBottom w:val="0"/>
      <w:divBdr>
        <w:top w:val="none" w:sz="0" w:space="0" w:color="auto"/>
        <w:left w:val="none" w:sz="0" w:space="0" w:color="auto"/>
        <w:bottom w:val="none" w:sz="0" w:space="0" w:color="auto"/>
        <w:right w:val="none" w:sz="0" w:space="0" w:color="auto"/>
      </w:divBdr>
    </w:div>
    <w:div w:id="219482967">
      <w:bodyDiv w:val="1"/>
      <w:marLeft w:val="0"/>
      <w:marRight w:val="0"/>
      <w:marTop w:val="0"/>
      <w:marBottom w:val="0"/>
      <w:divBdr>
        <w:top w:val="none" w:sz="0" w:space="0" w:color="auto"/>
        <w:left w:val="none" w:sz="0" w:space="0" w:color="auto"/>
        <w:bottom w:val="none" w:sz="0" w:space="0" w:color="auto"/>
        <w:right w:val="none" w:sz="0" w:space="0" w:color="auto"/>
      </w:divBdr>
      <w:divsChild>
        <w:div w:id="127672920">
          <w:marLeft w:val="288"/>
          <w:marRight w:val="0"/>
          <w:marTop w:val="60"/>
          <w:marBottom w:val="60"/>
          <w:divBdr>
            <w:top w:val="none" w:sz="0" w:space="0" w:color="auto"/>
            <w:left w:val="none" w:sz="0" w:space="0" w:color="auto"/>
            <w:bottom w:val="none" w:sz="0" w:space="0" w:color="auto"/>
            <w:right w:val="none" w:sz="0" w:space="0" w:color="auto"/>
          </w:divBdr>
        </w:div>
        <w:div w:id="409932887">
          <w:marLeft w:val="562"/>
          <w:marRight w:val="0"/>
          <w:marTop w:val="60"/>
          <w:marBottom w:val="60"/>
          <w:divBdr>
            <w:top w:val="none" w:sz="0" w:space="0" w:color="auto"/>
            <w:left w:val="none" w:sz="0" w:space="0" w:color="auto"/>
            <w:bottom w:val="none" w:sz="0" w:space="0" w:color="auto"/>
            <w:right w:val="none" w:sz="0" w:space="0" w:color="auto"/>
          </w:divBdr>
        </w:div>
        <w:div w:id="707490084">
          <w:marLeft w:val="562"/>
          <w:marRight w:val="0"/>
          <w:marTop w:val="60"/>
          <w:marBottom w:val="60"/>
          <w:divBdr>
            <w:top w:val="none" w:sz="0" w:space="0" w:color="auto"/>
            <w:left w:val="none" w:sz="0" w:space="0" w:color="auto"/>
            <w:bottom w:val="none" w:sz="0" w:space="0" w:color="auto"/>
            <w:right w:val="none" w:sz="0" w:space="0" w:color="auto"/>
          </w:divBdr>
        </w:div>
        <w:div w:id="966665236">
          <w:marLeft w:val="288"/>
          <w:marRight w:val="0"/>
          <w:marTop w:val="60"/>
          <w:marBottom w:val="60"/>
          <w:divBdr>
            <w:top w:val="none" w:sz="0" w:space="0" w:color="auto"/>
            <w:left w:val="none" w:sz="0" w:space="0" w:color="auto"/>
            <w:bottom w:val="none" w:sz="0" w:space="0" w:color="auto"/>
            <w:right w:val="none" w:sz="0" w:space="0" w:color="auto"/>
          </w:divBdr>
        </w:div>
        <w:div w:id="1267495568">
          <w:marLeft w:val="288"/>
          <w:marRight w:val="0"/>
          <w:marTop w:val="60"/>
          <w:marBottom w:val="60"/>
          <w:divBdr>
            <w:top w:val="none" w:sz="0" w:space="0" w:color="auto"/>
            <w:left w:val="none" w:sz="0" w:space="0" w:color="auto"/>
            <w:bottom w:val="none" w:sz="0" w:space="0" w:color="auto"/>
            <w:right w:val="none" w:sz="0" w:space="0" w:color="auto"/>
          </w:divBdr>
        </w:div>
        <w:div w:id="1764182281">
          <w:marLeft w:val="288"/>
          <w:marRight w:val="0"/>
          <w:marTop w:val="60"/>
          <w:marBottom w:val="60"/>
          <w:divBdr>
            <w:top w:val="none" w:sz="0" w:space="0" w:color="auto"/>
            <w:left w:val="none" w:sz="0" w:space="0" w:color="auto"/>
            <w:bottom w:val="none" w:sz="0" w:space="0" w:color="auto"/>
            <w:right w:val="none" w:sz="0" w:space="0" w:color="auto"/>
          </w:divBdr>
        </w:div>
      </w:divsChild>
    </w:div>
    <w:div w:id="396781914">
      <w:bodyDiv w:val="1"/>
      <w:marLeft w:val="0"/>
      <w:marRight w:val="0"/>
      <w:marTop w:val="0"/>
      <w:marBottom w:val="0"/>
      <w:divBdr>
        <w:top w:val="none" w:sz="0" w:space="0" w:color="auto"/>
        <w:left w:val="none" w:sz="0" w:space="0" w:color="auto"/>
        <w:bottom w:val="none" w:sz="0" w:space="0" w:color="auto"/>
        <w:right w:val="none" w:sz="0" w:space="0" w:color="auto"/>
      </w:divBdr>
    </w:div>
    <w:div w:id="501547277">
      <w:bodyDiv w:val="1"/>
      <w:marLeft w:val="0"/>
      <w:marRight w:val="0"/>
      <w:marTop w:val="0"/>
      <w:marBottom w:val="0"/>
      <w:divBdr>
        <w:top w:val="none" w:sz="0" w:space="0" w:color="auto"/>
        <w:left w:val="none" w:sz="0" w:space="0" w:color="auto"/>
        <w:bottom w:val="none" w:sz="0" w:space="0" w:color="auto"/>
        <w:right w:val="none" w:sz="0" w:space="0" w:color="auto"/>
      </w:divBdr>
      <w:divsChild>
        <w:div w:id="873350783">
          <w:marLeft w:val="288"/>
          <w:marRight w:val="0"/>
          <w:marTop w:val="60"/>
          <w:marBottom w:val="60"/>
          <w:divBdr>
            <w:top w:val="none" w:sz="0" w:space="0" w:color="auto"/>
            <w:left w:val="none" w:sz="0" w:space="0" w:color="auto"/>
            <w:bottom w:val="none" w:sz="0" w:space="0" w:color="auto"/>
            <w:right w:val="none" w:sz="0" w:space="0" w:color="auto"/>
          </w:divBdr>
        </w:div>
        <w:div w:id="1357999385">
          <w:marLeft w:val="288"/>
          <w:marRight w:val="0"/>
          <w:marTop w:val="60"/>
          <w:marBottom w:val="60"/>
          <w:divBdr>
            <w:top w:val="none" w:sz="0" w:space="0" w:color="auto"/>
            <w:left w:val="none" w:sz="0" w:space="0" w:color="auto"/>
            <w:bottom w:val="none" w:sz="0" w:space="0" w:color="auto"/>
            <w:right w:val="none" w:sz="0" w:space="0" w:color="auto"/>
          </w:divBdr>
        </w:div>
        <w:div w:id="1368751226">
          <w:marLeft w:val="288"/>
          <w:marRight w:val="0"/>
          <w:marTop w:val="60"/>
          <w:marBottom w:val="60"/>
          <w:divBdr>
            <w:top w:val="none" w:sz="0" w:space="0" w:color="auto"/>
            <w:left w:val="none" w:sz="0" w:space="0" w:color="auto"/>
            <w:bottom w:val="none" w:sz="0" w:space="0" w:color="auto"/>
            <w:right w:val="none" w:sz="0" w:space="0" w:color="auto"/>
          </w:divBdr>
        </w:div>
        <w:div w:id="2014184044">
          <w:marLeft w:val="288"/>
          <w:marRight w:val="0"/>
          <w:marTop w:val="60"/>
          <w:marBottom w:val="60"/>
          <w:divBdr>
            <w:top w:val="none" w:sz="0" w:space="0" w:color="auto"/>
            <w:left w:val="none" w:sz="0" w:space="0" w:color="auto"/>
            <w:bottom w:val="none" w:sz="0" w:space="0" w:color="auto"/>
            <w:right w:val="none" w:sz="0" w:space="0" w:color="auto"/>
          </w:divBdr>
        </w:div>
        <w:div w:id="2127264641">
          <w:marLeft w:val="288"/>
          <w:marRight w:val="0"/>
          <w:marTop w:val="60"/>
          <w:marBottom w:val="60"/>
          <w:divBdr>
            <w:top w:val="none" w:sz="0" w:space="0" w:color="auto"/>
            <w:left w:val="none" w:sz="0" w:space="0" w:color="auto"/>
            <w:bottom w:val="none" w:sz="0" w:space="0" w:color="auto"/>
            <w:right w:val="none" w:sz="0" w:space="0" w:color="auto"/>
          </w:divBdr>
        </w:div>
      </w:divsChild>
    </w:div>
    <w:div w:id="1070888882">
      <w:bodyDiv w:val="1"/>
      <w:marLeft w:val="0"/>
      <w:marRight w:val="0"/>
      <w:marTop w:val="0"/>
      <w:marBottom w:val="0"/>
      <w:divBdr>
        <w:top w:val="none" w:sz="0" w:space="0" w:color="auto"/>
        <w:left w:val="none" w:sz="0" w:space="0" w:color="auto"/>
        <w:bottom w:val="none" w:sz="0" w:space="0" w:color="auto"/>
        <w:right w:val="none" w:sz="0" w:space="0" w:color="auto"/>
      </w:divBdr>
    </w:div>
    <w:div w:id="1193299440">
      <w:bodyDiv w:val="1"/>
      <w:marLeft w:val="0"/>
      <w:marRight w:val="0"/>
      <w:marTop w:val="0"/>
      <w:marBottom w:val="0"/>
      <w:divBdr>
        <w:top w:val="none" w:sz="0" w:space="0" w:color="auto"/>
        <w:left w:val="none" w:sz="0" w:space="0" w:color="auto"/>
        <w:bottom w:val="none" w:sz="0" w:space="0" w:color="auto"/>
        <w:right w:val="none" w:sz="0" w:space="0" w:color="auto"/>
      </w:divBdr>
    </w:div>
    <w:div w:id="1274047891">
      <w:bodyDiv w:val="1"/>
      <w:marLeft w:val="0"/>
      <w:marRight w:val="0"/>
      <w:marTop w:val="0"/>
      <w:marBottom w:val="0"/>
      <w:divBdr>
        <w:top w:val="none" w:sz="0" w:space="0" w:color="auto"/>
        <w:left w:val="none" w:sz="0" w:space="0" w:color="auto"/>
        <w:bottom w:val="none" w:sz="0" w:space="0" w:color="auto"/>
        <w:right w:val="none" w:sz="0" w:space="0" w:color="auto"/>
      </w:divBdr>
    </w:div>
    <w:div w:id="1384452453">
      <w:bodyDiv w:val="1"/>
      <w:marLeft w:val="0"/>
      <w:marRight w:val="0"/>
      <w:marTop w:val="0"/>
      <w:marBottom w:val="0"/>
      <w:divBdr>
        <w:top w:val="none" w:sz="0" w:space="0" w:color="auto"/>
        <w:left w:val="none" w:sz="0" w:space="0" w:color="auto"/>
        <w:bottom w:val="none" w:sz="0" w:space="0" w:color="auto"/>
        <w:right w:val="none" w:sz="0" w:space="0" w:color="auto"/>
      </w:divBdr>
    </w:div>
    <w:div w:id="1486236455">
      <w:bodyDiv w:val="1"/>
      <w:marLeft w:val="0"/>
      <w:marRight w:val="0"/>
      <w:marTop w:val="0"/>
      <w:marBottom w:val="0"/>
      <w:divBdr>
        <w:top w:val="none" w:sz="0" w:space="0" w:color="auto"/>
        <w:left w:val="none" w:sz="0" w:space="0" w:color="auto"/>
        <w:bottom w:val="none" w:sz="0" w:space="0" w:color="auto"/>
        <w:right w:val="none" w:sz="0" w:space="0" w:color="auto"/>
      </w:divBdr>
    </w:div>
    <w:div w:id="1790005594">
      <w:bodyDiv w:val="1"/>
      <w:marLeft w:val="0"/>
      <w:marRight w:val="0"/>
      <w:marTop w:val="0"/>
      <w:marBottom w:val="0"/>
      <w:divBdr>
        <w:top w:val="none" w:sz="0" w:space="0" w:color="auto"/>
        <w:left w:val="none" w:sz="0" w:space="0" w:color="auto"/>
        <w:bottom w:val="none" w:sz="0" w:space="0" w:color="auto"/>
        <w:right w:val="none" w:sz="0" w:space="0" w:color="auto"/>
      </w:divBdr>
    </w:div>
    <w:div w:id="205273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wc.com/gx/en/industries/financial-services/publications/etf-2026-the-next-big-leap.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9EAE0.2C1DE1B0"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6ebbce-3a7d-4732-aa7e-aab1b70ce090">
      <Terms xmlns="http://schemas.microsoft.com/office/infopath/2007/PartnerControls"/>
    </lcf76f155ced4ddcb4097134ff3c332f>
    <TaxCatchAll xmlns="f2251f77-098d-40e2-bfef-bf70ba04b8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7655B0C7CB4D141B234B37AA6750459" ma:contentTypeVersion="14" ma:contentTypeDescription="Create a new document." ma:contentTypeScope="" ma:versionID="4570393ce8643c39d7ccbf018be950c6">
  <xsd:schema xmlns:xsd="http://www.w3.org/2001/XMLSchema" xmlns:xs="http://www.w3.org/2001/XMLSchema" xmlns:p="http://schemas.microsoft.com/office/2006/metadata/properties" xmlns:ns2="2b6ebbce-3a7d-4732-aa7e-aab1b70ce090" xmlns:ns3="f2251f77-098d-40e2-bfef-bf70ba04b878" targetNamespace="http://schemas.microsoft.com/office/2006/metadata/properties" ma:root="true" ma:fieldsID="6bd95fa253c768d5263e1895b1404025" ns2:_="" ns3:_="">
    <xsd:import namespace="2b6ebbce-3a7d-4732-aa7e-aab1b70ce090"/>
    <xsd:import namespace="f2251f77-098d-40e2-bfef-bf70ba04b8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ebbce-3a7d-4732-aa7e-aab1b70ce0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5b30786-1afd-4060-9bb9-34cae0e1d99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251f77-098d-40e2-bfef-bf70ba04b87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6378c78-087f-4881-8266-d7054bc35729}" ma:internalName="TaxCatchAll" ma:showField="CatchAllData" ma:web="f2251f77-098d-40e2-bfef-bf70ba04b87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2B9548-DCFB-4941-A746-A709DB2E3D37}">
  <ds:schemaRefs>
    <ds:schemaRef ds:uri="http://schemas.microsoft.com/office/2006/metadata/properties"/>
    <ds:schemaRef ds:uri="http://schemas.microsoft.com/office/infopath/2007/PartnerControls"/>
    <ds:schemaRef ds:uri="2b6ebbce-3a7d-4732-aa7e-aab1b70ce090"/>
    <ds:schemaRef ds:uri="f2251f77-098d-40e2-bfef-bf70ba04b878"/>
  </ds:schemaRefs>
</ds:datastoreItem>
</file>

<file path=customXml/itemProps2.xml><?xml version="1.0" encoding="utf-8"?>
<ds:datastoreItem xmlns:ds="http://schemas.openxmlformats.org/officeDocument/2006/customXml" ds:itemID="{506E579A-25FF-4CC4-84C3-37E37EF03F6B}">
  <ds:schemaRefs>
    <ds:schemaRef ds:uri="http://schemas.microsoft.com/sharepoint/v3/contenttype/forms"/>
  </ds:schemaRefs>
</ds:datastoreItem>
</file>

<file path=customXml/itemProps3.xml><?xml version="1.0" encoding="utf-8"?>
<ds:datastoreItem xmlns:ds="http://schemas.openxmlformats.org/officeDocument/2006/customXml" ds:itemID="{737800E7-D0C2-447F-9F5D-9FBC05CABD24}">
  <ds:schemaRefs>
    <ds:schemaRef ds:uri="http://schemas.openxmlformats.org/officeDocument/2006/bibliography"/>
  </ds:schemaRefs>
</ds:datastoreItem>
</file>

<file path=customXml/itemProps4.xml><?xml version="1.0" encoding="utf-8"?>
<ds:datastoreItem xmlns:ds="http://schemas.openxmlformats.org/officeDocument/2006/customXml" ds:itemID="{A94CFE1E-F289-4C8E-BA7D-C192DAE97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ebbce-3a7d-4732-aa7e-aab1b70ce090"/>
    <ds:schemaRef ds:uri="f2251f77-098d-40e2-bfef-bf70ba04b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930</Words>
  <Characters>5303</Characters>
  <Application>Microsoft Office Word</Application>
  <DocSecurity>0</DocSecurity>
  <Lines>44</Lines>
  <Paragraphs>12</Paragraphs>
  <ScaleCrop>false</ScaleCrop>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Katie</dc:creator>
  <cp:keywords/>
  <dc:description/>
  <cp:lastModifiedBy>Patricia Boon (Stampa)</cp:lastModifiedBy>
  <cp:revision>6</cp:revision>
  <dcterms:created xsi:type="dcterms:W3CDTF">2025-02-11T15:26:00Z</dcterms:created>
  <dcterms:modified xsi:type="dcterms:W3CDTF">2025-02-20T09:58:00Z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e6c503d-99f1-41d9-89c5-a1636c33546b_Enabled">
    <vt:lpwstr>true</vt:lpwstr>
  </property>
  <property fmtid="{D5CDD505-2E9C-101B-9397-08002B2CF9AE}" pid="3" name="MSIP_Label_7e6c503d-99f1-41d9-89c5-a1636c33546b_SetDate">
    <vt:lpwstr>2024-12-18T13:46:08Z</vt:lpwstr>
  </property>
  <property fmtid="{D5CDD505-2E9C-101B-9397-08002B2CF9AE}" pid="4" name="MSIP_Label_7e6c503d-99f1-41d9-89c5-a1636c33546b_Method">
    <vt:lpwstr>Privileged</vt:lpwstr>
  </property>
  <property fmtid="{D5CDD505-2E9C-101B-9397-08002B2CF9AE}" pid="5" name="MSIP_Label_7e6c503d-99f1-41d9-89c5-a1636c33546b_Name">
    <vt:lpwstr>FIL-Public</vt:lpwstr>
  </property>
  <property fmtid="{D5CDD505-2E9C-101B-9397-08002B2CF9AE}" pid="6" name="MSIP_Label_7e6c503d-99f1-41d9-89c5-a1636c33546b_SiteId">
    <vt:lpwstr>6b94db52-3791-432c-b97e-871411cd202e</vt:lpwstr>
  </property>
  <property fmtid="{D5CDD505-2E9C-101B-9397-08002B2CF9AE}" pid="7" name="MSIP_Label_7e6c503d-99f1-41d9-89c5-a1636c33546b_ActionId">
    <vt:lpwstr>15fd474d-2e7e-48b8-bc63-3396653a8cf0</vt:lpwstr>
  </property>
  <property fmtid="{D5CDD505-2E9C-101B-9397-08002B2CF9AE}" pid="8" name="MSIP_Label_7e6c503d-99f1-41d9-89c5-a1636c33546b_ContentBits">
    <vt:lpwstr>0</vt:lpwstr>
  </property>
  <property fmtid="{D5CDD505-2E9C-101B-9397-08002B2CF9AE}" pid="9" name="ContentTypeId">
    <vt:lpwstr>0x01010067655B0C7CB4D141B234B37AA6750459</vt:lpwstr>
  </property>
  <property fmtid="{D5CDD505-2E9C-101B-9397-08002B2CF9AE}" pid="10" name="MediaServiceImageTags">
    <vt:lpwstr/>
  </property>
</Properties>
</file>